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41" w:rsidRDefault="0074747F" w:rsidP="00EE581F">
      <w:pPr>
        <w:pStyle w:val="Fuzeile"/>
        <w:tabs>
          <w:tab w:val="clear" w:pos="4536"/>
          <w:tab w:val="clear" w:pos="9072"/>
          <w:tab w:val="left" w:pos="5879"/>
        </w:tabs>
        <w:spacing w:before="480"/>
      </w:pPr>
      <w:r>
        <w:t>Nr.</w:t>
      </w:r>
      <w:r>
        <w:t xml:space="preserve"> 157</w:t>
      </w:r>
      <w:r>
        <w:tab/>
        <w:t xml:space="preserve">Stans, </w:t>
      </w:r>
      <w:r>
        <w:t>12. März 2013</w:t>
      </w:r>
      <w:r>
        <w:t xml:space="preserve"> </w:t>
      </w:r>
    </w:p>
    <w:p w:rsidR="003E2E41" w:rsidRDefault="0074747F">
      <w:pPr>
        <w:pStyle w:val="Rubrum"/>
      </w:pPr>
      <w:r>
        <w:t>Baudirektion. Fachstelle öffentlicher Verkehr</w:t>
      </w:r>
      <w:r>
        <w:t xml:space="preserve"> und Projektentwicklung. Doppelspurausbau der Zentralbahn in Hergiswil. Vorgehen zur Festlegung der </w:t>
      </w:r>
      <w:r>
        <w:t>Bestv</w:t>
      </w:r>
      <w:r>
        <w:t>ariante zuhanden des Landr</w:t>
      </w:r>
      <w:r>
        <w:t>a</w:t>
      </w:r>
      <w:r>
        <w:t>tes. Zustimmung</w:t>
      </w:r>
    </w:p>
    <w:p w:rsidR="003E2E41" w:rsidRDefault="0074747F">
      <w:pPr>
        <w:pStyle w:val="berschrift1"/>
      </w:pPr>
      <w:r>
        <w:t>Sachverhalt</w:t>
      </w:r>
    </w:p>
    <w:p w:rsidR="001D4121" w:rsidRDefault="0074747F">
      <w:pPr>
        <w:pStyle w:val="Textkrper"/>
      </w:pPr>
      <w:r>
        <w:t>1.</w:t>
      </w:r>
      <w:r>
        <w:br/>
        <w:t xml:space="preserve">Seit rund 10 </w:t>
      </w:r>
      <w:r>
        <w:t>Jahren sind Aussagen zu einer integralen Doppelspur der Zentralbahn AG, zb zwischen Hergiswil und Luzern in den Richtplänen der Kantone Luzern, Obwalden und Ni</w:t>
      </w:r>
      <w:r>
        <w:t>d</w:t>
      </w:r>
      <w:r>
        <w:t>walden enthalten. Auch im Sachplan Verkehr, Teil Infrastruktur Schiene</w:t>
      </w:r>
      <w:r>
        <w:t>,</w:t>
      </w:r>
      <w:r>
        <w:t xml:space="preserve"> des Bundesamts für Raume</w:t>
      </w:r>
      <w:r>
        <w:t>ntwicklung (ARE) ist die Doppelspur zwischen Hergiswil Schlüssel und Bahnhof en</w:t>
      </w:r>
      <w:r>
        <w:t>t</w:t>
      </w:r>
      <w:r>
        <w:t xml:space="preserve">halten. Grundlage für diese raumplanerischen Festsetzungen waren Planungen über die künftige Angebotsentwicklung. Das langfristige Ziel einer integralen Doppelspur schafft die </w:t>
      </w:r>
      <w:r>
        <w:t>Voraussetzung</w:t>
      </w:r>
      <w:r>
        <w:t>, um auch über 2014 hinaus noch Handlungsspielraum für Angebotsverdic</w:t>
      </w:r>
      <w:r>
        <w:t>h</w:t>
      </w:r>
      <w:r>
        <w:t xml:space="preserve">tungen und </w:t>
      </w:r>
      <w:r>
        <w:t>-</w:t>
      </w:r>
      <w:r>
        <w:t>optimierungen zu haben.</w:t>
      </w:r>
    </w:p>
    <w:p w:rsidR="003E2E41" w:rsidRDefault="0074747F" w:rsidP="00827B1B">
      <w:pPr>
        <w:pStyle w:val="Textkrper"/>
      </w:pPr>
      <w:r>
        <w:t>Im Dezember 2012 wurde der doppelspurige Tunnel unter der Allmend in</w:t>
      </w:r>
      <w:r>
        <w:t xml:space="preserve"> Luzern in</w:t>
      </w:r>
      <w:r>
        <w:t xml:space="preserve"> Betrieb genommen. </w:t>
      </w:r>
      <w:r>
        <w:t>Geplant war auch ein Doppelspurausbau vo</w:t>
      </w:r>
      <w:r>
        <w:t>m</w:t>
      </w:r>
      <w:r>
        <w:t xml:space="preserve"> </w:t>
      </w:r>
      <w:r>
        <w:t>Süd</w:t>
      </w:r>
      <w:r>
        <w:t xml:space="preserve">portal des Haltiwaldtunnels </w:t>
      </w:r>
      <w:r>
        <w:t>bis zur Haltestelle Matt. Aufgrund von Einsprachen ist das Projekt</w:t>
      </w:r>
      <w:r>
        <w:t xml:space="preserve"> seit Ende 2010 </w:t>
      </w:r>
      <w:r>
        <w:t xml:space="preserve">sistiert. Kann diese Doppelspur realisiert werden, so besteht noch zwischen Hergiswil Matt und Bahnhof eine </w:t>
      </w:r>
      <w:r>
        <w:t xml:space="preserve">Einspurstrecke. </w:t>
      </w:r>
      <w:r>
        <w:t>Da</w:t>
      </w:r>
      <w:r>
        <w:t>mit</w:t>
      </w:r>
      <w:r>
        <w:t xml:space="preserve"> ist das Zie</w:t>
      </w:r>
      <w:r>
        <w:t xml:space="preserve">l einer integralen Doppelspur Luzern-Hergiswil noch nicht erreicht. Um diese Lücke zu schliessen sind verschiedene Varianten der Ausführung (Tunnel oder oberirdische Strecke oder Mischung aus </w:t>
      </w:r>
      <w:r>
        <w:t>b</w:t>
      </w:r>
      <w:r>
        <w:t>eidem) möglich.</w:t>
      </w:r>
    </w:p>
    <w:p w:rsidR="009E2BD1" w:rsidRDefault="0074747F" w:rsidP="00827B1B">
      <w:pPr>
        <w:pStyle w:val="Textkrper"/>
      </w:pPr>
      <w:r>
        <w:t>Auch ohne Doppelspurausbau zwischen dem Südport</w:t>
      </w:r>
      <w:r>
        <w:t>tal des Haltiwaldtunnels und Hergiswil Matt kann der angestrebte Fahrplan (Vx) stabil gefahren werden. Als einziges Problem hat sich die Bedienung der Haltestelle Matt herausgestellt. Diese kann nicht mehr wie bisher durch die S4 und S5 im Halbstundetakt b</w:t>
      </w:r>
      <w:r>
        <w:t>edient werden. Zur Zeit werden Lösungen für die Erschliessung des Dorfteils Hergiswil Matt bearbeitet. Selbst wenn die heute fehlende Do</w:t>
      </w:r>
      <w:r>
        <w:t>p</w:t>
      </w:r>
      <w:r>
        <w:t>pelspur gebaut worden wäre, ist ein Angebotsausbau über Vx hinaus nicht möglich. Eine Doppelspur von Hergiswil Matt bis</w:t>
      </w:r>
      <w:r>
        <w:t xml:space="preserve"> </w:t>
      </w:r>
      <w:r>
        <w:t xml:space="preserve">Hergiswil </w:t>
      </w:r>
      <w:r>
        <w:t xml:space="preserve">Bahnhof ist dafür unabdingbar. Nur mit diesem Ausbau der Bahninfrastruktur in Hergiswil kann das Ziel der </w:t>
      </w:r>
      <w:r>
        <w:t>integralen Doppelspur Luzern-Hergiswil, wie es in den Richtplänen enthalten</w:t>
      </w:r>
      <w:r>
        <w:t xml:space="preserve"> ist</w:t>
      </w:r>
      <w:r>
        <w:t xml:space="preserve">, erreicht werden. </w:t>
      </w:r>
    </w:p>
    <w:p w:rsidR="00F9547E" w:rsidRDefault="0074747F" w:rsidP="00F9547E">
      <w:pPr>
        <w:pStyle w:val="Textkrper"/>
        <w:jc w:val="left"/>
      </w:pPr>
      <w:r>
        <w:t>2.</w:t>
      </w:r>
      <w:r>
        <w:br/>
        <w:t>Die aktuelle Ausgangslage bezüglich d</w:t>
      </w:r>
      <w:r>
        <w:t xml:space="preserve">er Infrastrukturen der zb in </w:t>
      </w:r>
      <w:r>
        <w:t>Hergiswil präsentiert sich wie</w:t>
      </w:r>
      <w:r>
        <w:t xml:space="preserve"> </w:t>
      </w:r>
      <w:r>
        <w:t xml:space="preserve">folgt: </w:t>
      </w:r>
    </w:p>
    <w:p w:rsidR="00B10FAD" w:rsidRDefault="0074747F" w:rsidP="00F9547E">
      <w:pPr>
        <w:pStyle w:val="Textkrper"/>
        <w:jc w:val="left"/>
      </w:pPr>
      <w:r>
        <w:rPr>
          <w:noProof/>
          <w:lang w:eastAsia="de-CH"/>
        </w:rPr>
        <w:lastRenderedPageBreak/>
        <w:drawing>
          <wp:inline distT="0" distB="0" distL="0" distR="0">
            <wp:extent cx="5716066" cy="3473236"/>
            <wp:effectExtent l="19050" t="0" r="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5716066" cy="3473236"/>
                    </a:xfrm>
                    <a:prstGeom prst="rect">
                      <a:avLst/>
                    </a:prstGeom>
                    <a:noFill/>
                    <a:ln w="9525">
                      <a:noFill/>
                      <a:miter lim="800000"/>
                    </a:ln>
                  </pic:spPr>
                </pic:pic>
              </a:graphicData>
            </a:graphic>
          </wp:inline>
        </w:drawing>
      </w:r>
    </w:p>
    <w:p w:rsidR="008B29BE" w:rsidRPr="008B29BE" w:rsidRDefault="0074747F">
      <w:pPr>
        <w:pStyle w:val="Textkrper"/>
        <w:rPr>
          <w:sz w:val="20"/>
        </w:rPr>
      </w:pPr>
      <w:r w:rsidRPr="008B29BE">
        <w:rPr>
          <w:sz w:val="20"/>
        </w:rPr>
        <w:t>Ausschnitt Gemeinde Hergiswil</w:t>
      </w:r>
    </w:p>
    <w:p w:rsidR="00E30DF8" w:rsidRDefault="0074747F">
      <w:pPr>
        <w:pStyle w:val="Textkrper"/>
      </w:pPr>
      <w:r>
        <w:t>Die rote Linie zeigt die heutige Einspurstrecke. Es handelt sich um die Referenzvariante</w:t>
      </w:r>
      <w:r>
        <w:t>,</w:t>
      </w:r>
      <w:r>
        <w:t xml:space="preserve"> welche keine weiteren Angebotsausbauten </w:t>
      </w:r>
      <w:r>
        <w:t xml:space="preserve">mehr </w:t>
      </w:r>
      <w:r>
        <w:t>erlaubt. Für den Ausb</w:t>
      </w:r>
      <w:r>
        <w:t>au der Einspurstrecke auf Doppelspur sind verschiedene Planungsvarianten möglich.</w:t>
      </w:r>
    </w:p>
    <w:p w:rsidR="00A45EDF" w:rsidRDefault="0074747F">
      <w:pPr>
        <w:pStyle w:val="Textkrper"/>
      </w:pPr>
      <w:r>
        <w:t>3.</w:t>
      </w:r>
      <w:r>
        <w:br/>
        <w:t xml:space="preserve">Für den Teil der fehlenden Doppelspur zwischen Hergiswil Schlüssel und Matt existiert ein Auflageprojekt. Dieses wurde aufgrund zahlreicher Einsprachen und dem Widerstand </w:t>
      </w:r>
      <w:r>
        <w:t>der Gemeinde Hergiswil sowie dem Kanton Nidwalden sistiert. Mit der Sistierung wurde Zeit g</w:t>
      </w:r>
      <w:r>
        <w:t>e</w:t>
      </w:r>
      <w:r>
        <w:t>schaffen</w:t>
      </w:r>
      <w:r>
        <w:t>,</w:t>
      </w:r>
      <w:r>
        <w:t xml:space="preserve"> um alternative Varianten für einen Doppelspurausbau zu planen. Es sind dies in</w:t>
      </w:r>
      <w:r>
        <w:t>s</w:t>
      </w:r>
      <w:r>
        <w:t>besondere doppelspurige Eisenbahntunnels. Entsprechende Planungsarbeiten fü</w:t>
      </w:r>
      <w:r>
        <w:t>r Vorproje</w:t>
      </w:r>
      <w:r>
        <w:t>k</w:t>
      </w:r>
      <w:r>
        <w:t xml:space="preserve">te </w:t>
      </w:r>
      <w:r>
        <w:t>zu</w:t>
      </w:r>
      <w:r>
        <w:t xml:space="preserve"> eine</w:t>
      </w:r>
      <w:r>
        <w:t xml:space="preserve">m Tunnel lang oder kurz </w:t>
      </w:r>
      <w:r>
        <w:t>laufen zu</w:t>
      </w:r>
      <w:r>
        <w:t>r</w:t>
      </w:r>
      <w:r>
        <w:t xml:space="preserve"> Zeit. Nach Vorliegen aller Varianten sind diese zu bewerten und unter Einbezug aller Entscheidungsträger und Akteure eine umsetzbare </w:t>
      </w:r>
      <w:r>
        <w:t>Bestv</w:t>
      </w:r>
      <w:r>
        <w:t>ariante zu definieren. Die Baudirektion hat dazu aufgrund vers</w:t>
      </w:r>
      <w:r>
        <w:t>chiedener Abklärungen und Gespräche ein entsprechendes Vorgehen ausgearbeitet.</w:t>
      </w:r>
      <w:r>
        <w:t xml:space="preserve"> Es zeigt auf</w:t>
      </w:r>
      <w:r>
        <w:t>,</w:t>
      </w:r>
      <w:r>
        <w:t xml:space="preserve"> wi</w:t>
      </w:r>
      <w:r>
        <w:t>e</w:t>
      </w:r>
      <w:r>
        <w:t xml:space="preserve"> der wichtige Prozess der politischen Entscheidfindung ausgestaltet ist. </w:t>
      </w:r>
    </w:p>
    <w:p w:rsidR="00065573" w:rsidRDefault="0074747F">
      <w:pPr>
        <w:pStyle w:val="Textkrper"/>
      </w:pPr>
    </w:p>
    <w:p w:rsidR="003E2E41" w:rsidRDefault="0074747F">
      <w:pPr>
        <w:pStyle w:val="berschrift1"/>
      </w:pPr>
      <w:r>
        <w:t>Erwägungen</w:t>
      </w:r>
    </w:p>
    <w:p w:rsidR="006837DC" w:rsidRDefault="0074747F">
      <w:pPr>
        <w:pStyle w:val="Textkrper"/>
      </w:pPr>
      <w:r>
        <w:t>1.</w:t>
      </w:r>
      <w:r>
        <w:br/>
        <w:t>Der vorliegende Vorgehensvorschlag basiert auf Diskussionen innerhalb d</w:t>
      </w:r>
      <w:r>
        <w:t>es Steuerung</w:t>
      </w:r>
      <w:r>
        <w:t>s</w:t>
      </w:r>
      <w:r>
        <w:t xml:space="preserve">gremiums zum Vorprojekt </w:t>
      </w:r>
      <w:r>
        <w:t>Tunnel lang</w:t>
      </w:r>
      <w:r>
        <w:t xml:space="preserve"> in Hergiswil sowie Gesprächen mit dem Bundesamt für Verkehr</w:t>
      </w:r>
      <w:r>
        <w:t xml:space="preserve"> (</w:t>
      </w:r>
      <w:r>
        <w:t>BAV</w:t>
      </w:r>
      <w:r>
        <w:t>)</w:t>
      </w:r>
      <w:r>
        <w:t xml:space="preserve"> und den übrigen Bestellern. </w:t>
      </w:r>
    </w:p>
    <w:p w:rsidR="00A45EDF" w:rsidRDefault="0074747F">
      <w:pPr>
        <w:pStyle w:val="Textkrper"/>
      </w:pPr>
    </w:p>
    <w:p w:rsidR="00A45EDF" w:rsidRDefault="0074747F">
      <w:pPr>
        <w:pStyle w:val="Textkrper"/>
      </w:pPr>
    </w:p>
    <w:p w:rsidR="00A45EDF" w:rsidRDefault="0074747F">
      <w:pPr>
        <w:pStyle w:val="Textkrper"/>
      </w:pPr>
    </w:p>
    <w:p w:rsidR="00A45EDF" w:rsidRDefault="0074747F">
      <w:pPr>
        <w:pStyle w:val="Textkrper"/>
      </w:pPr>
    </w:p>
    <w:tbl>
      <w:tblPr>
        <w:tblStyle w:val="Tabellengitternetz"/>
        <w:tblW w:w="0" w:type="auto"/>
        <w:tblLook w:val="04A0"/>
      </w:tblPr>
      <w:tblGrid>
        <w:gridCol w:w="3969"/>
        <w:gridCol w:w="2552"/>
        <w:gridCol w:w="2552"/>
      </w:tblGrid>
      <w:tr w:rsidR="00AE5CD7" w:rsidTr="006837DC">
        <w:tc>
          <w:tcPr>
            <w:tcW w:w="3969" w:type="dxa"/>
            <w:tcBorders>
              <w:bottom w:val="single" w:sz="4" w:space="0" w:color="auto"/>
              <w:right w:val="single" w:sz="6" w:space="0" w:color="auto"/>
            </w:tcBorders>
          </w:tcPr>
          <w:p w:rsidR="006837DC" w:rsidRPr="00F24039" w:rsidRDefault="0074747F" w:rsidP="006837DC">
            <w:pPr>
              <w:rPr>
                <w:rFonts w:cs="Arial"/>
                <w:b/>
                <w:sz w:val="20"/>
                <w:szCs w:val="20"/>
              </w:rPr>
            </w:pPr>
            <w:r w:rsidRPr="00F24039">
              <w:rPr>
                <w:rFonts w:cs="Arial"/>
                <w:b/>
                <w:sz w:val="20"/>
                <w:szCs w:val="20"/>
              </w:rPr>
              <w:lastRenderedPageBreak/>
              <w:t>Was ?</w:t>
            </w:r>
          </w:p>
        </w:tc>
        <w:tc>
          <w:tcPr>
            <w:tcW w:w="2552" w:type="dxa"/>
            <w:tcBorders>
              <w:left w:val="single" w:sz="6" w:space="0" w:color="auto"/>
              <w:bottom w:val="single" w:sz="4" w:space="0" w:color="auto"/>
              <w:right w:val="single" w:sz="6" w:space="0" w:color="auto"/>
            </w:tcBorders>
          </w:tcPr>
          <w:p w:rsidR="006837DC" w:rsidRPr="00651CAC" w:rsidRDefault="0074747F" w:rsidP="006837DC">
            <w:pPr>
              <w:rPr>
                <w:rFonts w:cs="Arial"/>
                <w:b/>
                <w:sz w:val="20"/>
                <w:szCs w:val="20"/>
              </w:rPr>
            </w:pPr>
            <w:r w:rsidRPr="00651CAC">
              <w:rPr>
                <w:rFonts w:cs="Arial"/>
                <w:b/>
                <w:sz w:val="20"/>
                <w:szCs w:val="20"/>
              </w:rPr>
              <w:t>Wer ?</w:t>
            </w:r>
          </w:p>
        </w:tc>
        <w:tc>
          <w:tcPr>
            <w:tcW w:w="2552" w:type="dxa"/>
            <w:tcBorders>
              <w:left w:val="single" w:sz="6" w:space="0" w:color="auto"/>
              <w:bottom w:val="single" w:sz="4" w:space="0" w:color="auto"/>
            </w:tcBorders>
          </w:tcPr>
          <w:p w:rsidR="006837DC" w:rsidRPr="00651CAC" w:rsidRDefault="0074747F" w:rsidP="006837DC">
            <w:pPr>
              <w:rPr>
                <w:rFonts w:cs="Arial"/>
                <w:b/>
                <w:sz w:val="20"/>
                <w:szCs w:val="20"/>
              </w:rPr>
            </w:pPr>
            <w:r w:rsidRPr="00651CAC">
              <w:rPr>
                <w:rFonts w:cs="Arial"/>
                <w:b/>
                <w:sz w:val="20"/>
                <w:szCs w:val="20"/>
              </w:rPr>
              <w:t>Wann ?</w:t>
            </w:r>
          </w:p>
        </w:tc>
      </w:tr>
      <w:tr w:rsidR="00AE5CD7" w:rsidTr="006837DC">
        <w:tc>
          <w:tcPr>
            <w:tcW w:w="3969" w:type="dxa"/>
            <w:tcBorders>
              <w:top w:val="single" w:sz="4" w:space="0" w:color="auto"/>
              <w:left w:val="nil"/>
              <w:bottom w:val="single" w:sz="4" w:space="0" w:color="auto"/>
              <w:right w:val="nil"/>
            </w:tcBorders>
          </w:tcPr>
          <w:p w:rsidR="006837DC" w:rsidRPr="00F24039" w:rsidRDefault="0074747F" w:rsidP="006837DC">
            <w:pPr>
              <w:rPr>
                <w:rFonts w:cs="Arial"/>
                <w:sz w:val="20"/>
                <w:szCs w:val="20"/>
              </w:rPr>
            </w:pPr>
          </w:p>
        </w:tc>
        <w:tc>
          <w:tcPr>
            <w:tcW w:w="2552" w:type="dxa"/>
            <w:tcBorders>
              <w:top w:val="single" w:sz="4" w:space="0" w:color="auto"/>
              <w:left w:val="nil"/>
              <w:bottom w:val="single" w:sz="4" w:space="0" w:color="auto"/>
              <w:right w:val="nil"/>
            </w:tcBorders>
          </w:tcPr>
          <w:p w:rsidR="006837DC" w:rsidRPr="00F24039" w:rsidRDefault="0074747F" w:rsidP="006837DC">
            <w:pPr>
              <w:rPr>
                <w:rFonts w:cs="Arial"/>
                <w:sz w:val="20"/>
                <w:szCs w:val="20"/>
              </w:rPr>
            </w:pPr>
          </w:p>
        </w:tc>
        <w:tc>
          <w:tcPr>
            <w:tcW w:w="2552" w:type="dxa"/>
            <w:tcBorders>
              <w:top w:val="single" w:sz="4" w:space="0" w:color="auto"/>
              <w:left w:val="nil"/>
              <w:bottom w:val="single" w:sz="4" w:space="0" w:color="auto"/>
              <w:right w:val="nil"/>
            </w:tcBorders>
          </w:tcPr>
          <w:p w:rsidR="006837DC" w:rsidRPr="00F24039" w:rsidRDefault="0074747F" w:rsidP="006837DC">
            <w:pPr>
              <w:rPr>
                <w:rFonts w:cs="Arial"/>
                <w:sz w:val="20"/>
                <w:szCs w:val="20"/>
              </w:rPr>
            </w:pPr>
          </w:p>
        </w:tc>
      </w:tr>
      <w:tr w:rsidR="00AE5CD7" w:rsidTr="006837DC">
        <w:tc>
          <w:tcPr>
            <w:tcW w:w="3969" w:type="dxa"/>
            <w:tcBorders>
              <w:top w:val="single" w:sz="4" w:space="0" w:color="auto"/>
              <w:right w:val="single" w:sz="6" w:space="0" w:color="auto"/>
            </w:tcBorders>
          </w:tcPr>
          <w:p w:rsidR="006837DC" w:rsidRPr="00F24039" w:rsidRDefault="0074747F" w:rsidP="006837DC">
            <w:pPr>
              <w:rPr>
                <w:rFonts w:cs="Arial"/>
                <w:sz w:val="20"/>
                <w:szCs w:val="20"/>
              </w:rPr>
            </w:pPr>
            <w:r>
              <w:rPr>
                <w:rFonts w:cs="Arial"/>
                <w:sz w:val="20"/>
                <w:szCs w:val="20"/>
              </w:rPr>
              <w:t xml:space="preserve">Vorliegen der Vorprojekte für den Tunnel lang und kurz. </w:t>
            </w:r>
          </w:p>
        </w:tc>
        <w:tc>
          <w:tcPr>
            <w:tcW w:w="2552" w:type="dxa"/>
            <w:tcBorders>
              <w:top w:val="single" w:sz="4" w:space="0" w:color="auto"/>
              <w:left w:val="single" w:sz="6" w:space="0" w:color="auto"/>
              <w:right w:val="single" w:sz="6" w:space="0" w:color="auto"/>
            </w:tcBorders>
          </w:tcPr>
          <w:p w:rsidR="006837DC" w:rsidRPr="00F24039" w:rsidRDefault="0074747F" w:rsidP="006837DC">
            <w:pPr>
              <w:rPr>
                <w:rFonts w:cs="Arial"/>
                <w:sz w:val="20"/>
                <w:szCs w:val="20"/>
              </w:rPr>
            </w:pPr>
            <w:r>
              <w:rPr>
                <w:rFonts w:cs="Arial"/>
                <w:sz w:val="20"/>
                <w:szCs w:val="20"/>
              </w:rPr>
              <w:t xml:space="preserve">Steuerungsgremium </w:t>
            </w:r>
          </w:p>
        </w:tc>
        <w:tc>
          <w:tcPr>
            <w:tcW w:w="2552" w:type="dxa"/>
            <w:tcBorders>
              <w:top w:val="single" w:sz="4" w:space="0" w:color="auto"/>
              <w:left w:val="single" w:sz="6" w:space="0" w:color="auto"/>
            </w:tcBorders>
          </w:tcPr>
          <w:p w:rsidR="006837DC" w:rsidRPr="00F24039" w:rsidRDefault="0074747F" w:rsidP="006837DC">
            <w:pPr>
              <w:rPr>
                <w:rFonts w:cs="Arial"/>
                <w:sz w:val="20"/>
                <w:szCs w:val="20"/>
              </w:rPr>
            </w:pPr>
            <w:r>
              <w:rPr>
                <w:rFonts w:cs="Arial"/>
                <w:sz w:val="20"/>
                <w:szCs w:val="20"/>
              </w:rPr>
              <w:t>Mai 2013</w:t>
            </w:r>
          </w:p>
        </w:tc>
      </w:tr>
      <w:tr w:rsidR="00AE5CD7" w:rsidTr="006837DC">
        <w:tc>
          <w:tcPr>
            <w:tcW w:w="3969" w:type="dxa"/>
          </w:tcPr>
          <w:p w:rsidR="006837DC" w:rsidRPr="00F24039" w:rsidRDefault="0074747F" w:rsidP="006837DC">
            <w:pPr>
              <w:rPr>
                <w:rFonts w:cs="Arial"/>
                <w:sz w:val="20"/>
                <w:szCs w:val="20"/>
              </w:rPr>
            </w:pPr>
            <w:r>
              <w:rPr>
                <w:rFonts w:cs="Arial"/>
                <w:sz w:val="20"/>
                <w:szCs w:val="20"/>
              </w:rPr>
              <w:t>Vorliegen des Vorprojekts einer Doppe</w:t>
            </w:r>
            <w:r>
              <w:rPr>
                <w:rFonts w:cs="Arial"/>
                <w:sz w:val="20"/>
                <w:szCs w:val="20"/>
              </w:rPr>
              <w:t>l</w:t>
            </w:r>
            <w:r>
              <w:rPr>
                <w:rFonts w:cs="Arial"/>
                <w:sz w:val="20"/>
                <w:szCs w:val="20"/>
              </w:rPr>
              <w:t>spur  à-Niveau.</w:t>
            </w:r>
          </w:p>
        </w:tc>
        <w:tc>
          <w:tcPr>
            <w:tcW w:w="2552" w:type="dxa"/>
          </w:tcPr>
          <w:p w:rsidR="006837DC" w:rsidRPr="00F24039" w:rsidRDefault="0074747F" w:rsidP="006837DC">
            <w:pPr>
              <w:rPr>
                <w:rFonts w:cs="Arial"/>
                <w:sz w:val="20"/>
                <w:szCs w:val="20"/>
              </w:rPr>
            </w:pPr>
            <w:r>
              <w:rPr>
                <w:rFonts w:cs="Arial"/>
                <w:sz w:val="20"/>
                <w:szCs w:val="20"/>
              </w:rPr>
              <w:t>Zentralbahn</w:t>
            </w:r>
          </w:p>
        </w:tc>
        <w:tc>
          <w:tcPr>
            <w:tcW w:w="2552" w:type="dxa"/>
          </w:tcPr>
          <w:p w:rsidR="006837DC" w:rsidRPr="00F24039" w:rsidRDefault="0074747F" w:rsidP="006837DC">
            <w:pPr>
              <w:rPr>
                <w:rFonts w:cs="Arial"/>
                <w:sz w:val="20"/>
                <w:szCs w:val="20"/>
              </w:rPr>
            </w:pPr>
            <w:r>
              <w:rPr>
                <w:rFonts w:cs="Arial"/>
                <w:sz w:val="20"/>
                <w:szCs w:val="20"/>
              </w:rPr>
              <w:t>Mai 2013</w:t>
            </w:r>
          </w:p>
        </w:tc>
      </w:tr>
      <w:tr w:rsidR="00AE5CD7" w:rsidTr="006837DC">
        <w:tc>
          <w:tcPr>
            <w:tcW w:w="3969" w:type="dxa"/>
          </w:tcPr>
          <w:p w:rsidR="006837DC" w:rsidRDefault="0074747F" w:rsidP="006837DC">
            <w:pPr>
              <w:rPr>
                <w:rFonts w:cs="Arial"/>
                <w:sz w:val="20"/>
                <w:szCs w:val="20"/>
              </w:rPr>
            </w:pPr>
            <w:r>
              <w:rPr>
                <w:rFonts w:cs="Arial"/>
                <w:sz w:val="20"/>
                <w:szCs w:val="20"/>
              </w:rPr>
              <w:t xml:space="preserve">Bewertung aller Varianten unter Einbezug der Referenzvariante.  </w:t>
            </w:r>
          </w:p>
        </w:tc>
        <w:tc>
          <w:tcPr>
            <w:tcW w:w="2552" w:type="dxa"/>
          </w:tcPr>
          <w:p w:rsidR="006837DC" w:rsidRDefault="0074747F" w:rsidP="0029051C">
            <w:pPr>
              <w:jc w:val="left"/>
              <w:rPr>
                <w:rFonts w:cs="Arial"/>
                <w:sz w:val="20"/>
                <w:szCs w:val="20"/>
              </w:rPr>
            </w:pPr>
            <w:r>
              <w:rPr>
                <w:rFonts w:cs="Arial"/>
                <w:sz w:val="20"/>
                <w:szCs w:val="20"/>
              </w:rPr>
              <w:t>Baudirektion</w:t>
            </w:r>
            <w:r>
              <w:rPr>
                <w:rFonts w:cs="Arial"/>
                <w:sz w:val="20"/>
                <w:szCs w:val="20"/>
              </w:rPr>
              <w:t xml:space="preserve"> und Beglei</w:t>
            </w:r>
            <w:r>
              <w:rPr>
                <w:rFonts w:cs="Arial"/>
                <w:sz w:val="20"/>
                <w:szCs w:val="20"/>
              </w:rPr>
              <w:t>t</w:t>
            </w:r>
            <w:r>
              <w:rPr>
                <w:rFonts w:cs="Arial"/>
                <w:sz w:val="20"/>
                <w:szCs w:val="20"/>
              </w:rPr>
              <w:t>gremium</w:t>
            </w:r>
            <w:r>
              <w:rPr>
                <w:rFonts w:cs="Arial"/>
                <w:sz w:val="20"/>
                <w:szCs w:val="20"/>
              </w:rPr>
              <w:t xml:space="preserve"> mit externer Unterstützung</w:t>
            </w:r>
          </w:p>
        </w:tc>
        <w:tc>
          <w:tcPr>
            <w:tcW w:w="2552" w:type="dxa"/>
          </w:tcPr>
          <w:p w:rsidR="006837DC" w:rsidRDefault="0074747F" w:rsidP="00762C25">
            <w:pPr>
              <w:rPr>
                <w:rFonts w:cs="Arial"/>
                <w:sz w:val="20"/>
                <w:szCs w:val="20"/>
              </w:rPr>
            </w:pPr>
            <w:r>
              <w:rPr>
                <w:rFonts w:cs="Arial"/>
                <w:sz w:val="20"/>
                <w:szCs w:val="20"/>
              </w:rPr>
              <w:t>Juni-</w:t>
            </w:r>
            <w:r>
              <w:rPr>
                <w:rFonts w:cs="Arial"/>
                <w:sz w:val="20"/>
                <w:szCs w:val="20"/>
              </w:rPr>
              <w:t>September</w:t>
            </w:r>
            <w:r>
              <w:rPr>
                <w:rFonts w:cs="Arial"/>
                <w:sz w:val="20"/>
                <w:szCs w:val="20"/>
              </w:rPr>
              <w:t xml:space="preserve"> 2013</w:t>
            </w:r>
          </w:p>
        </w:tc>
      </w:tr>
      <w:tr w:rsidR="00AE5CD7" w:rsidTr="006837DC">
        <w:tc>
          <w:tcPr>
            <w:tcW w:w="3969" w:type="dxa"/>
          </w:tcPr>
          <w:p w:rsidR="006837DC" w:rsidRDefault="0074747F" w:rsidP="00762C25">
            <w:pPr>
              <w:rPr>
                <w:rFonts w:cs="Arial"/>
                <w:sz w:val="20"/>
                <w:szCs w:val="20"/>
              </w:rPr>
            </w:pPr>
            <w:r>
              <w:rPr>
                <w:rFonts w:cs="Arial"/>
                <w:sz w:val="20"/>
                <w:szCs w:val="20"/>
              </w:rPr>
              <w:t xml:space="preserve">Vorliegen eines Berichts zur </w:t>
            </w:r>
            <w:r>
              <w:rPr>
                <w:rFonts w:cs="Arial"/>
                <w:sz w:val="20"/>
                <w:szCs w:val="20"/>
              </w:rPr>
              <w:t>Evaluation (Gesamtschau) mit Vorschlag für Bestv</w:t>
            </w:r>
            <w:r>
              <w:rPr>
                <w:rFonts w:cs="Arial"/>
                <w:sz w:val="20"/>
                <w:szCs w:val="20"/>
              </w:rPr>
              <w:t>a</w:t>
            </w:r>
            <w:r>
              <w:rPr>
                <w:rFonts w:cs="Arial"/>
                <w:sz w:val="20"/>
                <w:szCs w:val="20"/>
              </w:rPr>
              <w:t>riante</w:t>
            </w:r>
            <w:r>
              <w:rPr>
                <w:rFonts w:cs="Arial"/>
                <w:sz w:val="20"/>
                <w:szCs w:val="20"/>
              </w:rPr>
              <w:t xml:space="preserve"> und möglicher Kostenteiler.</w:t>
            </w:r>
            <w:r>
              <w:rPr>
                <w:rFonts w:cs="Arial"/>
                <w:sz w:val="20"/>
                <w:szCs w:val="20"/>
              </w:rPr>
              <w:t xml:space="preserve"> </w:t>
            </w:r>
          </w:p>
        </w:tc>
        <w:tc>
          <w:tcPr>
            <w:tcW w:w="2552" w:type="dxa"/>
          </w:tcPr>
          <w:p w:rsidR="006837DC" w:rsidRDefault="0074747F" w:rsidP="0029051C">
            <w:pPr>
              <w:jc w:val="left"/>
              <w:rPr>
                <w:rFonts w:cs="Arial"/>
                <w:sz w:val="20"/>
                <w:szCs w:val="20"/>
              </w:rPr>
            </w:pPr>
            <w:r>
              <w:rPr>
                <w:rFonts w:cs="Arial"/>
                <w:sz w:val="20"/>
                <w:szCs w:val="20"/>
              </w:rPr>
              <w:t xml:space="preserve">Baudirektion </w:t>
            </w:r>
            <w:r>
              <w:rPr>
                <w:rFonts w:cs="Arial"/>
                <w:sz w:val="20"/>
                <w:szCs w:val="20"/>
              </w:rPr>
              <w:t>und Beglei</w:t>
            </w:r>
            <w:r>
              <w:rPr>
                <w:rFonts w:cs="Arial"/>
                <w:sz w:val="20"/>
                <w:szCs w:val="20"/>
              </w:rPr>
              <w:t>t</w:t>
            </w:r>
            <w:r>
              <w:rPr>
                <w:rFonts w:cs="Arial"/>
                <w:sz w:val="20"/>
                <w:szCs w:val="20"/>
              </w:rPr>
              <w:t xml:space="preserve">gremium </w:t>
            </w:r>
            <w:r>
              <w:rPr>
                <w:rFonts w:cs="Arial"/>
                <w:sz w:val="20"/>
                <w:szCs w:val="20"/>
              </w:rPr>
              <w:t>mit externer Unterstützung</w:t>
            </w:r>
          </w:p>
        </w:tc>
        <w:tc>
          <w:tcPr>
            <w:tcW w:w="2552" w:type="dxa"/>
          </w:tcPr>
          <w:p w:rsidR="006837DC" w:rsidRDefault="0074747F" w:rsidP="006837DC">
            <w:pPr>
              <w:rPr>
                <w:rFonts w:cs="Arial"/>
                <w:sz w:val="20"/>
                <w:szCs w:val="20"/>
              </w:rPr>
            </w:pPr>
            <w:r>
              <w:rPr>
                <w:rFonts w:cs="Arial"/>
                <w:sz w:val="20"/>
                <w:szCs w:val="20"/>
              </w:rPr>
              <w:t>Oktober 2013</w:t>
            </w:r>
          </w:p>
        </w:tc>
      </w:tr>
      <w:tr w:rsidR="00AE5CD7" w:rsidTr="006837DC">
        <w:tc>
          <w:tcPr>
            <w:tcW w:w="3969" w:type="dxa"/>
          </w:tcPr>
          <w:p w:rsidR="00AE3299" w:rsidRPr="00AC5A0A" w:rsidRDefault="0074747F" w:rsidP="004A652F">
            <w:pPr>
              <w:jc w:val="left"/>
              <w:rPr>
                <w:rFonts w:cs="Arial"/>
                <w:sz w:val="20"/>
              </w:rPr>
            </w:pPr>
            <w:r w:rsidRPr="00AC5A0A">
              <w:rPr>
                <w:rFonts w:cs="Arial"/>
                <w:sz w:val="20"/>
              </w:rPr>
              <w:t>Präsentation der Gesamtschau beim R</w:t>
            </w:r>
            <w:r w:rsidRPr="00AC5A0A">
              <w:rPr>
                <w:rFonts w:cs="Arial"/>
                <w:sz w:val="20"/>
              </w:rPr>
              <w:t>e</w:t>
            </w:r>
            <w:r w:rsidRPr="00AC5A0A">
              <w:rPr>
                <w:rFonts w:cs="Arial"/>
                <w:sz w:val="20"/>
              </w:rPr>
              <w:t>gierungsrat</w:t>
            </w:r>
            <w:r w:rsidRPr="00AC5A0A">
              <w:rPr>
                <w:rFonts w:cs="Arial"/>
                <w:sz w:val="20"/>
              </w:rPr>
              <w:t xml:space="preserve"> mit </w:t>
            </w:r>
            <w:r w:rsidRPr="00AC5A0A">
              <w:rPr>
                <w:rFonts w:cs="Arial"/>
                <w:sz w:val="20"/>
              </w:rPr>
              <w:t>Freigabe zur externen Vernehmlassung</w:t>
            </w:r>
          </w:p>
        </w:tc>
        <w:tc>
          <w:tcPr>
            <w:tcW w:w="2552" w:type="dxa"/>
          </w:tcPr>
          <w:p w:rsidR="00AE3299" w:rsidRDefault="0074747F" w:rsidP="006837DC">
            <w:pPr>
              <w:rPr>
                <w:rFonts w:cs="Arial"/>
                <w:sz w:val="20"/>
              </w:rPr>
            </w:pPr>
            <w:r w:rsidRPr="00AE3299">
              <w:rPr>
                <w:rFonts w:cs="Arial"/>
                <w:sz w:val="20"/>
              </w:rPr>
              <w:t>Baudirekt</w:t>
            </w:r>
            <w:r w:rsidRPr="00AE3299">
              <w:rPr>
                <w:rFonts w:cs="Arial"/>
                <w:sz w:val="20"/>
              </w:rPr>
              <w:t>ion</w:t>
            </w:r>
          </w:p>
        </w:tc>
        <w:tc>
          <w:tcPr>
            <w:tcW w:w="2552" w:type="dxa"/>
          </w:tcPr>
          <w:p w:rsidR="00AE3299" w:rsidRDefault="0074747F" w:rsidP="00762C25">
            <w:pPr>
              <w:rPr>
                <w:rFonts w:cs="Arial"/>
                <w:sz w:val="20"/>
              </w:rPr>
            </w:pPr>
            <w:r>
              <w:rPr>
                <w:rFonts w:cs="Arial"/>
                <w:sz w:val="20"/>
              </w:rPr>
              <w:t>November 2013</w:t>
            </w:r>
          </w:p>
        </w:tc>
      </w:tr>
      <w:tr w:rsidR="00AE5CD7" w:rsidTr="006837DC">
        <w:tc>
          <w:tcPr>
            <w:tcW w:w="3969" w:type="dxa"/>
          </w:tcPr>
          <w:p w:rsidR="006837DC" w:rsidRDefault="0074747F" w:rsidP="006837DC">
            <w:pPr>
              <w:rPr>
                <w:rFonts w:cs="Arial"/>
                <w:sz w:val="20"/>
                <w:szCs w:val="20"/>
              </w:rPr>
            </w:pPr>
            <w:r>
              <w:rPr>
                <w:rFonts w:cs="Arial"/>
                <w:sz w:val="20"/>
                <w:szCs w:val="20"/>
              </w:rPr>
              <w:t>Präsentation der Gesamtschau bei den Partnern und Betroffenen.</w:t>
            </w:r>
          </w:p>
        </w:tc>
        <w:tc>
          <w:tcPr>
            <w:tcW w:w="2552" w:type="dxa"/>
          </w:tcPr>
          <w:p w:rsidR="006837DC" w:rsidRDefault="0074747F" w:rsidP="006837DC">
            <w:pPr>
              <w:rPr>
                <w:rFonts w:cs="Arial"/>
                <w:sz w:val="20"/>
                <w:szCs w:val="20"/>
              </w:rPr>
            </w:pPr>
            <w:r>
              <w:rPr>
                <w:rFonts w:cs="Arial"/>
                <w:sz w:val="20"/>
                <w:szCs w:val="20"/>
              </w:rPr>
              <w:t>Baudirektion</w:t>
            </w:r>
          </w:p>
        </w:tc>
        <w:tc>
          <w:tcPr>
            <w:tcW w:w="2552" w:type="dxa"/>
          </w:tcPr>
          <w:p w:rsidR="006837DC" w:rsidRPr="00AC5A0A" w:rsidRDefault="0074747F" w:rsidP="004A652F">
            <w:pPr>
              <w:rPr>
                <w:rFonts w:cs="Arial"/>
                <w:sz w:val="20"/>
                <w:szCs w:val="20"/>
              </w:rPr>
            </w:pPr>
            <w:r w:rsidRPr="00AC5A0A">
              <w:rPr>
                <w:rFonts w:cs="Arial"/>
                <w:sz w:val="20"/>
                <w:szCs w:val="20"/>
              </w:rPr>
              <w:t>Dezembe</w:t>
            </w:r>
            <w:r w:rsidRPr="00AC5A0A">
              <w:rPr>
                <w:rFonts w:cs="Arial"/>
                <w:sz w:val="20"/>
                <w:szCs w:val="20"/>
              </w:rPr>
              <w:t>r</w:t>
            </w:r>
            <w:r w:rsidRPr="00AC5A0A">
              <w:rPr>
                <w:rFonts w:cs="Arial"/>
                <w:sz w:val="20"/>
                <w:szCs w:val="20"/>
              </w:rPr>
              <w:t xml:space="preserve"> 2013</w:t>
            </w:r>
          </w:p>
        </w:tc>
      </w:tr>
      <w:tr w:rsidR="00AE5CD7" w:rsidTr="006837DC">
        <w:tc>
          <w:tcPr>
            <w:tcW w:w="3969" w:type="dxa"/>
          </w:tcPr>
          <w:p w:rsidR="006837DC" w:rsidRDefault="0074747F" w:rsidP="006837DC">
            <w:pPr>
              <w:rPr>
                <w:rFonts w:cs="Arial"/>
                <w:sz w:val="20"/>
                <w:szCs w:val="20"/>
              </w:rPr>
            </w:pPr>
            <w:r>
              <w:rPr>
                <w:rFonts w:cs="Arial"/>
                <w:sz w:val="20"/>
                <w:szCs w:val="20"/>
              </w:rPr>
              <w:t>Schriftliche Stellungnahmen der Partner und Betroffenen zu den Ergebnissen der Gesamtschau.</w:t>
            </w:r>
          </w:p>
        </w:tc>
        <w:tc>
          <w:tcPr>
            <w:tcW w:w="2552" w:type="dxa"/>
          </w:tcPr>
          <w:p w:rsidR="006837DC" w:rsidRDefault="0074747F" w:rsidP="00EA3B41">
            <w:pPr>
              <w:rPr>
                <w:rFonts w:cs="Arial"/>
                <w:sz w:val="20"/>
                <w:szCs w:val="20"/>
              </w:rPr>
            </w:pPr>
            <w:r>
              <w:rPr>
                <w:rFonts w:cs="Arial"/>
                <w:sz w:val="20"/>
                <w:szCs w:val="20"/>
              </w:rPr>
              <w:t xml:space="preserve">Bund, Kantone LU und OW, Gemeinde Hergiswil, PSF, zb, </w:t>
            </w:r>
            <w:r>
              <w:rPr>
                <w:rFonts w:cs="Arial"/>
                <w:sz w:val="20"/>
                <w:szCs w:val="20"/>
              </w:rPr>
              <w:t>Interessenvertr</w:t>
            </w:r>
            <w:r>
              <w:rPr>
                <w:rFonts w:cs="Arial"/>
                <w:sz w:val="20"/>
                <w:szCs w:val="20"/>
              </w:rPr>
              <w:t>e</w:t>
            </w:r>
            <w:r>
              <w:rPr>
                <w:rFonts w:cs="Arial"/>
                <w:sz w:val="20"/>
                <w:szCs w:val="20"/>
              </w:rPr>
              <w:t>tungen</w:t>
            </w:r>
          </w:p>
        </w:tc>
        <w:tc>
          <w:tcPr>
            <w:tcW w:w="2552" w:type="dxa"/>
          </w:tcPr>
          <w:p w:rsidR="006837DC" w:rsidRPr="00AC5A0A" w:rsidRDefault="0074747F" w:rsidP="004A652F">
            <w:pPr>
              <w:rPr>
                <w:rFonts w:cs="Arial"/>
                <w:sz w:val="20"/>
                <w:szCs w:val="20"/>
              </w:rPr>
            </w:pPr>
            <w:r w:rsidRPr="00AC5A0A">
              <w:rPr>
                <w:rFonts w:cs="Arial"/>
                <w:sz w:val="20"/>
                <w:szCs w:val="20"/>
              </w:rPr>
              <w:t>Januar</w:t>
            </w:r>
            <w:r w:rsidRPr="00AC5A0A">
              <w:rPr>
                <w:rFonts w:cs="Arial"/>
                <w:sz w:val="20"/>
                <w:szCs w:val="20"/>
              </w:rPr>
              <w:t>-</w:t>
            </w:r>
            <w:r w:rsidRPr="00AC5A0A">
              <w:rPr>
                <w:rFonts w:cs="Arial"/>
                <w:sz w:val="20"/>
                <w:szCs w:val="20"/>
              </w:rPr>
              <w:t>März 201</w:t>
            </w:r>
            <w:r w:rsidRPr="00AC5A0A">
              <w:rPr>
                <w:rFonts w:cs="Arial"/>
                <w:sz w:val="20"/>
                <w:szCs w:val="20"/>
              </w:rPr>
              <w:t>4</w:t>
            </w:r>
          </w:p>
        </w:tc>
      </w:tr>
      <w:tr w:rsidR="00AE5CD7" w:rsidTr="006837DC">
        <w:tc>
          <w:tcPr>
            <w:tcW w:w="3969" w:type="dxa"/>
          </w:tcPr>
          <w:p w:rsidR="006837DC" w:rsidRDefault="0074747F" w:rsidP="006837DC">
            <w:pPr>
              <w:rPr>
                <w:rFonts w:cs="Arial"/>
                <w:sz w:val="20"/>
                <w:szCs w:val="20"/>
              </w:rPr>
            </w:pPr>
            <w:r>
              <w:rPr>
                <w:rFonts w:cs="Arial"/>
                <w:sz w:val="20"/>
                <w:szCs w:val="20"/>
              </w:rPr>
              <w:t xml:space="preserve">Erarbeiten der Vorlage für den Doppel-spurausbau in Hergiswil an den Landrat. </w:t>
            </w:r>
          </w:p>
        </w:tc>
        <w:tc>
          <w:tcPr>
            <w:tcW w:w="2552" w:type="dxa"/>
          </w:tcPr>
          <w:p w:rsidR="006837DC" w:rsidRDefault="0074747F" w:rsidP="006837DC">
            <w:pPr>
              <w:rPr>
                <w:rFonts w:cs="Arial"/>
                <w:sz w:val="20"/>
                <w:szCs w:val="20"/>
              </w:rPr>
            </w:pPr>
            <w:r>
              <w:rPr>
                <w:rFonts w:cs="Arial"/>
                <w:sz w:val="20"/>
                <w:szCs w:val="20"/>
              </w:rPr>
              <w:t>Baudirektion</w:t>
            </w:r>
          </w:p>
        </w:tc>
        <w:tc>
          <w:tcPr>
            <w:tcW w:w="2552" w:type="dxa"/>
          </w:tcPr>
          <w:p w:rsidR="006837DC" w:rsidRPr="00AC5A0A" w:rsidRDefault="0074747F" w:rsidP="004A652F">
            <w:pPr>
              <w:rPr>
                <w:rFonts w:cs="Arial"/>
                <w:sz w:val="20"/>
                <w:szCs w:val="20"/>
              </w:rPr>
            </w:pPr>
            <w:r w:rsidRPr="00AC5A0A">
              <w:rPr>
                <w:rFonts w:cs="Arial"/>
                <w:sz w:val="20"/>
                <w:szCs w:val="20"/>
              </w:rPr>
              <w:t>April-</w:t>
            </w:r>
            <w:r w:rsidRPr="00AC5A0A">
              <w:rPr>
                <w:rFonts w:cs="Arial"/>
                <w:sz w:val="20"/>
                <w:szCs w:val="20"/>
              </w:rPr>
              <w:t>Mai</w:t>
            </w:r>
            <w:r w:rsidRPr="00AC5A0A">
              <w:rPr>
                <w:rFonts w:cs="Arial"/>
                <w:sz w:val="20"/>
                <w:szCs w:val="20"/>
              </w:rPr>
              <w:t xml:space="preserve"> 2014</w:t>
            </w:r>
          </w:p>
        </w:tc>
      </w:tr>
      <w:tr w:rsidR="00AE5CD7" w:rsidTr="006837DC">
        <w:tc>
          <w:tcPr>
            <w:tcW w:w="3969" w:type="dxa"/>
          </w:tcPr>
          <w:p w:rsidR="006837DC" w:rsidRDefault="0074747F" w:rsidP="006837DC">
            <w:pPr>
              <w:rPr>
                <w:rFonts w:cs="Arial"/>
                <w:sz w:val="20"/>
                <w:szCs w:val="20"/>
              </w:rPr>
            </w:pPr>
            <w:r>
              <w:rPr>
                <w:rFonts w:cs="Arial"/>
                <w:sz w:val="20"/>
                <w:szCs w:val="20"/>
              </w:rPr>
              <w:t>Verabschiedung der Vorlage zu Handen des Landrats.</w:t>
            </w:r>
          </w:p>
        </w:tc>
        <w:tc>
          <w:tcPr>
            <w:tcW w:w="2552" w:type="dxa"/>
          </w:tcPr>
          <w:p w:rsidR="006837DC" w:rsidRDefault="0074747F" w:rsidP="006837DC">
            <w:pPr>
              <w:rPr>
                <w:rFonts w:cs="Arial"/>
                <w:sz w:val="20"/>
                <w:szCs w:val="20"/>
              </w:rPr>
            </w:pPr>
            <w:r>
              <w:rPr>
                <w:rFonts w:cs="Arial"/>
                <w:sz w:val="20"/>
                <w:szCs w:val="20"/>
              </w:rPr>
              <w:t>Regierungsrat</w:t>
            </w:r>
          </w:p>
        </w:tc>
        <w:tc>
          <w:tcPr>
            <w:tcW w:w="2552" w:type="dxa"/>
          </w:tcPr>
          <w:p w:rsidR="006837DC" w:rsidRPr="00AC5A0A" w:rsidRDefault="0074747F" w:rsidP="006837DC">
            <w:pPr>
              <w:rPr>
                <w:rFonts w:cs="Arial"/>
                <w:sz w:val="20"/>
                <w:szCs w:val="20"/>
              </w:rPr>
            </w:pPr>
            <w:r w:rsidRPr="00AC5A0A">
              <w:rPr>
                <w:rFonts w:cs="Arial"/>
                <w:sz w:val="20"/>
                <w:szCs w:val="20"/>
              </w:rPr>
              <w:t>Juni 2014</w:t>
            </w:r>
          </w:p>
        </w:tc>
      </w:tr>
      <w:tr w:rsidR="00AE5CD7" w:rsidTr="006837DC">
        <w:tc>
          <w:tcPr>
            <w:tcW w:w="3969" w:type="dxa"/>
          </w:tcPr>
          <w:p w:rsidR="006837DC" w:rsidRDefault="0074747F" w:rsidP="006837DC">
            <w:pPr>
              <w:rPr>
                <w:rFonts w:cs="Arial"/>
                <w:sz w:val="20"/>
                <w:szCs w:val="20"/>
              </w:rPr>
            </w:pPr>
            <w:r>
              <w:rPr>
                <w:rFonts w:cs="Arial"/>
                <w:sz w:val="20"/>
                <w:szCs w:val="20"/>
              </w:rPr>
              <w:t xml:space="preserve">Behandlung der Vorlage. </w:t>
            </w:r>
          </w:p>
        </w:tc>
        <w:tc>
          <w:tcPr>
            <w:tcW w:w="2552" w:type="dxa"/>
          </w:tcPr>
          <w:p w:rsidR="006837DC" w:rsidRDefault="0074747F" w:rsidP="006837DC">
            <w:pPr>
              <w:rPr>
                <w:rFonts w:cs="Arial"/>
                <w:sz w:val="20"/>
                <w:szCs w:val="20"/>
              </w:rPr>
            </w:pPr>
            <w:r>
              <w:rPr>
                <w:rFonts w:cs="Arial"/>
                <w:sz w:val="20"/>
                <w:szCs w:val="20"/>
              </w:rPr>
              <w:t>Landrat</w:t>
            </w:r>
          </w:p>
        </w:tc>
        <w:tc>
          <w:tcPr>
            <w:tcW w:w="2552" w:type="dxa"/>
          </w:tcPr>
          <w:p w:rsidR="006837DC" w:rsidRPr="00AC5A0A" w:rsidRDefault="0074747F" w:rsidP="006837DC">
            <w:pPr>
              <w:rPr>
                <w:rFonts w:cs="Arial"/>
                <w:sz w:val="20"/>
                <w:szCs w:val="20"/>
              </w:rPr>
            </w:pPr>
            <w:r w:rsidRPr="00AC5A0A">
              <w:rPr>
                <w:rFonts w:cs="Arial"/>
                <w:sz w:val="20"/>
                <w:szCs w:val="20"/>
              </w:rPr>
              <w:t>2. Hälfte 2014</w:t>
            </w:r>
          </w:p>
        </w:tc>
      </w:tr>
    </w:tbl>
    <w:p w:rsidR="006837DC" w:rsidRPr="00065573" w:rsidRDefault="0074747F" w:rsidP="00016E46">
      <w:pPr>
        <w:pStyle w:val="Textkrper"/>
        <w:spacing w:after="120"/>
        <w:rPr>
          <w:sz w:val="16"/>
          <w:szCs w:val="16"/>
        </w:rPr>
      </w:pPr>
      <w:r w:rsidRPr="00065573">
        <w:rPr>
          <w:sz w:val="16"/>
          <w:szCs w:val="16"/>
        </w:rPr>
        <w:t xml:space="preserve">PSF = Politstrategische Führung des Aggloprogramms Luzern </w:t>
      </w:r>
    </w:p>
    <w:p w:rsidR="00762C25" w:rsidRDefault="0074747F" w:rsidP="00762C25">
      <w:pPr>
        <w:pStyle w:val="Textkrper"/>
        <w:spacing w:after="0"/>
      </w:pPr>
      <w:r>
        <w:t>2.</w:t>
      </w:r>
      <w:r>
        <w:br/>
        <w:t>Wichtig ist im Prozess zur Erarbeitung der Landratsvorlage der Einbezug der entscheidrel</w:t>
      </w:r>
      <w:r>
        <w:t>e</w:t>
      </w:r>
      <w:r>
        <w:t>vanten</w:t>
      </w:r>
      <w:r>
        <w:t xml:space="preserve"> Akteure. Aus diesem Grund soll die Gesamtschau und Evaluation der Varianten </w:t>
      </w:r>
      <w:r w:rsidRPr="00AC5A0A">
        <w:t xml:space="preserve">durch ein </w:t>
      </w:r>
      <w:r w:rsidRPr="00AC5A0A">
        <w:t>Begleitgr</w:t>
      </w:r>
      <w:r w:rsidRPr="00AC5A0A">
        <w:t>emium</w:t>
      </w:r>
      <w:r>
        <w:t xml:space="preserve"> begleitet werden. Diese</w:t>
      </w:r>
      <w:r>
        <w:t>s</w:t>
      </w:r>
      <w:r>
        <w:t xml:space="preserve"> setzt sich</w:t>
      </w:r>
      <w:r>
        <w:t xml:space="preserve"> zurzeit</w:t>
      </w:r>
      <w:r>
        <w:t xml:space="preserve"> wie folgt zusammen :</w:t>
      </w:r>
    </w:p>
    <w:p w:rsidR="00EA3B41" w:rsidRDefault="0074747F" w:rsidP="00762C25">
      <w:pPr>
        <w:pStyle w:val="Textkrper"/>
        <w:spacing w:after="0"/>
      </w:pPr>
    </w:p>
    <w:p w:rsidR="006F1858" w:rsidRDefault="0074747F" w:rsidP="00762C25">
      <w:pPr>
        <w:pStyle w:val="Textkrper"/>
        <w:spacing w:after="0"/>
      </w:pPr>
      <w:r>
        <w:t>-</w:t>
      </w:r>
      <w:r>
        <w:tab/>
        <w:t>Hans Wicki, Baudirektor Nidwalden</w:t>
      </w:r>
    </w:p>
    <w:p w:rsidR="006F1858" w:rsidRDefault="0074747F" w:rsidP="00762C25">
      <w:pPr>
        <w:pStyle w:val="Textkrper"/>
        <w:spacing w:after="0"/>
      </w:pPr>
      <w:r>
        <w:t xml:space="preserve">- </w:t>
      </w:r>
      <w:r>
        <w:tab/>
      </w:r>
      <w:r>
        <w:t>Markus Hoenke, Stv. Sektionschef Planung,</w:t>
      </w:r>
      <w:r>
        <w:t xml:space="preserve"> Bundesa</w:t>
      </w:r>
      <w:r>
        <w:t>mt für Verkehr</w:t>
      </w:r>
    </w:p>
    <w:p w:rsidR="006F1858" w:rsidRDefault="0074747F" w:rsidP="00762C25">
      <w:pPr>
        <w:pStyle w:val="Textkrper"/>
        <w:spacing w:after="0"/>
      </w:pPr>
      <w:r>
        <w:t xml:space="preserve">- </w:t>
      </w:r>
      <w:r>
        <w:tab/>
      </w:r>
      <w:r>
        <w:t xml:space="preserve">Remo Zberg, </w:t>
      </w:r>
      <w:r>
        <w:t>Gemeinde</w:t>
      </w:r>
      <w:r>
        <w:t>präsident</w:t>
      </w:r>
      <w:r>
        <w:t xml:space="preserve"> Hergiswil</w:t>
      </w:r>
    </w:p>
    <w:p w:rsidR="00EA3B41" w:rsidRDefault="0074747F" w:rsidP="00762C25">
      <w:pPr>
        <w:pStyle w:val="Textkrper"/>
        <w:spacing w:after="0"/>
      </w:pPr>
      <w:r>
        <w:t xml:space="preserve">- </w:t>
      </w:r>
      <w:r>
        <w:tab/>
      </w:r>
      <w:r>
        <w:t xml:space="preserve">Renato Fasciati, Geschäftsführer </w:t>
      </w:r>
      <w:r>
        <w:t>Zentralbahn AG, zb</w:t>
      </w:r>
    </w:p>
    <w:p w:rsidR="004A652F" w:rsidRDefault="0074747F" w:rsidP="00762C25">
      <w:pPr>
        <w:pStyle w:val="Textkrper"/>
        <w:spacing w:after="0"/>
      </w:pPr>
      <w:r>
        <w:t xml:space="preserve">- </w:t>
      </w:r>
      <w:r>
        <w:tab/>
        <w:t xml:space="preserve">Hanspeter Schüpfer, Fachstelle öV </w:t>
      </w:r>
      <w:r>
        <w:t>u</w:t>
      </w:r>
      <w:r>
        <w:t>nd Projektentwicklung</w:t>
      </w:r>
    </w:p>
    <w:p w:rsidR="006F1858" w:rsidRDefault="0074747F" w:rsidP="00762C25">
      <w:pPr>
        <w:pStyle w:val="Textkrper"/>
        <w:spacing w:after="0"/>
      </w:pPr>
    </w:p>
    <w:p w:rsidR="00EC64E4" w:rsidRDefault="0074747F" w:rsidP="006F1858">
      <w:pPr>
        <w:pStyle w:val="Textkrper"/>
        <w:spacing w:after="0"/>
      </w:pPr>
      <w:r w:rsidRPr="00AC5A0A">
        <w:t xml:space="preserve">Ursprünglich war vorgesehen auch die politischen Vertreter der Kantone Luzern und </w:t>
      </w:r>
      <w:r w:rsidRPr="00AC5A0A">
        <w:t>Obwa</w:t>
      </w:r>
      <w:r w:rsidRPr="00AC5A0A">
        <w:t>l</w:t>
      </w:r>
      <w:r w:rsidRPr="00AC5A0A">
        <w:t xml:space="preserve">den ins Begleitgremium aufzunehmen. Eine </w:t>
      </w:r>
      <w:r w:rsidRPr="00AC5A0A">
        <w:t xml:space="preserve">mündliche </w:t>
      </w:r>
      <w:r w:rsidRPr="00AC5A0A">
        <w:t>Anfrage des Baudirektors bei den Regierungsräten Niklaus Bleiker und Robert Küng wurde von</w:t>
      </w:r>
      <w:r w:rsidRPr="00AC5A0A">
        <w:t xml:space="preserve"> diesen </w:t>
      </w:r>
      <w:r w:rsidRPr="00AC5A0A">
        <w:t xml:space="preserve">per e-mail </w:t>
      </w:r>
      <w:r w:rsidRPr="00AC5A0A">
        <w:t>abschlägig beantwortet. Begründet wird der Verzicht damit, dass es sich nach Meinung der Re</w:t>
      </w:r>
      <w:r w:rsidRPr="00AC5A0A">
        <w:t>gierung</w:t>
      </w:r>
      <w:r w:rsidRPr="00AC5A0A">
        <w:t>s</w:t>
      </w:r>
      <w:r w:rsidRPr="00AC5A0A">
        <w:t>vertreter um ein Nidwaldner Projekt handelt und mit dem Einsatz der bewährten Bewe</w:t>
      </w:r>
      <w:r w:rsidRPr="00AC5A0A">
        <w:t>r</w:t>
      </w:r>
      <w:r w:rsidRPr="00AC5A0A">
        <w:t>tungsmethode NIBA unter Einbezug des BAV die Ergebnisse der Evaluation anerkannt we</w:t>
      </w:r>
      <w:r w:rsidRPr="00AC5A0A">
        <w:t>r</w:t>
      </w:r>
      <w:r w:rsidRPr="00AC5A0A">
        <w:t>den.</w:t>
      </w:r>
      <w:r w:rsidRPr="00AC5A0A">
        <w:t xml:space="preserve"> </w:t>
      </w:r>
      <w:r w:rsidRPr="00AC5A0A">
        <w:t>Es ist vorgesehen, in der Evaluationsphase auch eine Arbeitsgruppe auf Fache</w:t>
      </w:r>
      <w:r w:rsidRPr="00AC5A0A">
        <w:t>bene</w:t>
      </w:r>
      <w:r>
        <w:t xml:space="preserve"> einzusetzen, welche einen Kostenteiler für die Doppelspur in Hergiswil ausarbeitet und dem Begleitgremium zur Diskussion vorlegt. Damit kann dem Regierungsrat neben der Bestvar</w:t>
      </w:r>
      <w:r>
        <w:t>i</w:t>
      </w:r>
      <w:r>
        <w:t xml:space="preserve">ante auch ein politisch abgestützter Kostenteiler präsentiert werden. </w:t>
      </w:r>
      <w:r>
        <w:t xml:space="preserve">Bei </w:t>
      </w:r>
      <w:r>
        <w:t>einer finanziellen Beteiligung der Kantone Luzern und Obwalden am Doppelspurausbau in Hergiswil sind en</w:t>
      </w:r>
      <w:r>
        <w:t>t</w:t>
      </w:r>
      <w:r>
        <w:t xml:space="preserve">sprechende Beschlüsse (Parlament oder Volksabstimmung) notwendig. Zur Zeit lassen sich diese Beschlüsse zeitlich noch nicht einordnen. </w:t>
      </w:r>
    </w:p>
    <w:p w:rsidR="006F1858" w:rsidRDefault="0074747F" w:rsidP="006F1858">
      <w:pPr>
        <w:pStyle w:val="Textkrper"/>
        <w:spacing w:after="0"/>
      </w:pPr>
    </w:p>
    <w:p w:rsidR="00825BFD" w:rsidRDefault="0074747F">
      <w:pPr>
        <w:jc w:val="left"/>
      </w:pPr>
      <w:r>
        <w:br w:type="page"/>
      </w:r>
    </w:p>
    <w:p w:rsidR="006837DC" w:rsidRDefault="0074747F" w:rsidP="00485047">
      <w:pPr>
        <w:pStyle w:val="Textkrper"/>
        <w:spacing w:after="0"/>
      </w:pPr>
      <w:r>
        <w:lastRenderedPageBreak/>
        <w:t>3.</w:t>
      </w:r>
      <w:r>
        <w:br/>
      </w:r>
      <w:r>
        <w:t>Der Vorgeh</w:t>
      </w:r>
      <w:r>
        <w:t>ensvorschlag zeigt auf</w:t>
      </w:r>
      <w:r>
        <w:t>,</w:t>
      </w:r>
      <w:r>
        <w:t xml:space="preserve"> mit welchen Schritten eine breit abgestützte </w:t>
      </w:r>
      <w:r>
        <w:t>Bestv</w:t>
      </w:r>
      <w:r>
        <w:t xml:space="preserve">ariante für einen Doppelspurausbau gefunden werden </w:t>
      </w:r>
      <w:r>
        <w:t>kann</w:t>
      </w:r>
      <w:r>
        <w:t xml:space="preserve">. Wichtig ist dabei, dass alle möglichen Varianten für einen Doppelspurausbau im Rahmen einer Gesamtschau der Referenzvariante </w:t>
      </w:r>
      <w:r>
        <w:t>(Einspurstrecke heute) gegenüber gestellt werden.</w:t>
      </w:r>
      <w:r>
        <w:t xml:space="preserve"> Diese Varianten müssen alle den gle</w:t>
      </w:r>
      <w:r>
        <w:t>i</w:t>
      </w:r>
      <w:r>
        <w:t>chen Planungsstand haben, um vergleichbar zu sein.</w:t>
      </w:r>
      <w:r>
        <w:t xml:space="preserve"> Aus heutiger Sicht sind folgende Var</w:t>
      </w:r>
      <w:r>
        <w:t>i</w:t>
      </w:r>
      <w:r>
        <w:t>anten denkbar :</w:t>
      </w:r>
    </w:p>
    <w:p w:rsidR="00485047" w:rsidRDefault="0074747F" w:rsidP="00485047">
      <w:pPr>
        <w:pStyle w:val="Textkrper"/>
        <w:spacing w:after="0"/>
      </w:pPr>
    </w:p>
    <w:p w:rsidR="006837DC" w:rsidRDefault="0074747F" w:rsidP="00485047">
      <w:pPr>
        <w:pStyle w:val="Textkrper"/>
        <w:spacing w:after="0"/>
      </w:pPr>
      <w:r>
        <w:t xml:space="preserve">- Doppelspuriger Tunnel lang von Hergiswil Schlüssel bis </w:t>
      </w:r>
      <w:r>
        <w:t>Hergiswi</w:t>
      </w:r>
      <w:r>
        <w:t xml:space="preserve">l </w:t>
      </w:r>
      <w:r>
        <w:t>Bahnhof</w:t>
      </w:r>
    </w:p>
    <w:p w:rsidR="006837DC" w:rsidRDefault="0074747F" w:rsidP="00485047">
      <w:pPr>
        <w:pStyle w:val="Textkrper"/>
        <w:spacing w:after="0"/>
      </w:pPr>
      <w:r>
        <w:t>- Doppelspuriger Tunnel kurz mit Auflageprojekt</w:t>
      </w:r>
      <w:r>
        <w:t xml:space="preserve"> (eventuell modifiziert)</w:t>
      </w:r>
    </w:p>
    <w:p w:rsidR="006837DC" w:rsidRDefault="0074747F" w:rsidP="005433D3">
      <w:pPr>
        <w:pStyle w:val="Textkrper"/>
        <w:spacing w:after="0"/>
      </w:pPr>
      <w:r>
        <w:t xml:space="preserve">- </w:t>
      </w:r>
      <w:r>
        <w:t>Offene Doppelspur auf bestehendem Trassee (</w:t>
      </w:r>
      <w:r>
        <w:t>à-Niveau-Variante</w:t>
      </w:r>
      <w:r>
        <w:t>)</w:t>
      </w:r>
    </w:p>
    <w:p w:rsidR="005433D3" w:rsidRDefault="0074747F">
      <w:pPr>
        <w:pStyle w:val="Textkrper"/>
      </w:pPr>
      <w:r>
        <w:t>- Referenz-Variante (Null</w:t>
      </w:r>
      <w:r>
        <w:t>-Va</w:t>
      </w:r>
      <w:r>
        <w:t>riante)</w:t>
      </w:r>
    </w:p>
    <w:p w:rsidR="005433D3" w:rsidRDefault="0074747F">
      <w:pPr>
        <w:pStyle w:val="Textkrper"/>
      </w:pPr>
      <w:r>
        <w:t>Der Bau nur des Auflageprojekts erreicht die Zielsetzung der integralen Do</w:t>
      </w:r>
      <w:r>
        <w:t>ppelspur Luzern-Hergiswil</w:t>
      </w:r>
      <w:r>
        <w:t xml:space="preserve">, wie in den Richtplänen von Luzern, Ob- und Nidwalden enthalten, </w:t>
      </w:r>
      <w:r>
        <w:t>nicht. Es bleibt die Einspurstrecke Hergiswil Matt</w:t>
      </w:r>
      <w:r>
        <w:t xml:space="preserve"> bis Hergiswil </w:t>
      </w:r>
      <w:r>
        <w:t xml:space="preserve">Bahnhof. Auch die Referenz-Variante trägt nicht zur Zielerreichung bei. </w:t>
      </w:r>
    </w:p>
    <w:p w:rsidR="00E25C32" w:rsidRDefault="0074747F">
      <w:pPr>
        <w:pStyle w:val="Textkrper"/>
      </w:pPr>
      <w:r>
        <w:t>Im Rahmen der Gesamtschau s</w:t>
      </w:r>
      <w:r>
        <w:t xml:space="preserve">ind </w:t>
      </w:r>
      <w:r>
        <w:t xml:space="preserve">Aussagen zur Finanzierung, </w:t>
      </w:r>
      <w:r>
        <w:t xml:space="preserve">zu </w:t>
      </w:r>
      <w:r>
        <w:t>ein</w:t>
      </w:r>
      <w:r>
        <w:t>em</w:t>
      </w:r>
      <w:r>
        <w:t xml:space="preserve"> </w:t>
      </w:r>
      <w:r>
        <w:t>allfällige</w:t>
      </w:r>
      <w:r>
        <w:t>n</w:t>
      </w:r>
      <w:r>
        <w:t xml:space="preserve"> Koste</w:t>
      </w:r>
      <w:r>
        <w:t>n</w:t>
      </w:r>
      <w:r>
        <w:t xml:space="preserve">teiler unter den Kantonen und gegenüber der Gemeinde Hergiswil sowie </w:t>
      </w:r>
      <w:r>
        <w:t>zu</w:t>
      </w:r>
      <w:r>
        <w:t>r Eta</w:t>
      </w:r>
      <w:r>
        <w:t>p</w:t>
      </w:r>
      <w:r>
        <w:t>pierbarkeit der gewählten Variante notwendig.</w:t>
      </w:r>
    </w:p>
    <w:p w:rsidR="00485047" w:rsidRDefault="0074747F">
      <w:pPr>
        <w:pStyle w:val="Textkrper"/>
      </w:pPr>
      <w:r>
        <w:t>4</w:t>
      </w:r>
      <w:r>
        <w:t>.</w:t>
      </w:r>
      <w:r>
        <w:br/>
        <w:t xml:space="preserve">Nach Vorliegen der </w:t>
      </w:r>
      <w:r>
        <w:t>verschiedenen Doppelspurvarianten sollen diese mit Hi</w:t>
      </w:r>
      <w:r>
        <w:t>lfe einer bewäh</w:t>
      </w:r>
      <w:r>
        <w:t>r</w:t>
      </w:r>
      <w:r>
        <w:t xml:space="preserve">ten und </w:t>
      </w:r>
      <w:r>
        <w:t xml:space="preserve">transparenten </w:t>
      </w:r>
      <w:r>
        <w:t>Methode bewertet werden. Im Fokus ist dabei eine Methode</w:t>
      </w:r>
      <w:r>
        <w:t>,</w:t>
      </w:r>
      <w:r>
        <w:t xml:space="preserve"> welche vom Bundesamt für Verkehr zur Bewertung von Projekten im Schienenverkehr angewendet wird. Diese Bewertung basiert auf Nachhaltigkeitsindikatoren für Bahninfrastrukturprojekte (NIBA). </w:t>
      </w:r>
      <w:r>
        <w:t>Sie umfass</w:t>
      </w:r>
      <w:r>
        <w:t>t</w:t>
      </w:r>
      <w:r>
        <w:t xml:space="preserve"> neben monetären Kosten-Nutzen Betrachtungen auch desk</w:t>
      </w:r>
      <w:r>
        <w:t>riptive Fakt</w:t>
      </w:r>
      <w:r>
        <w:t>o</w:t>
      </w:r>
      <w:r>
        <w:t>ren wie Lärm</w:t>
      </w:r>
      <w:r>
        <w:t xml:space="preserve"> oder</w:t>
      </w:r>
      <w:r>
        <w:t xml:space="preserve"> Landschafts- und Ortsbild. </w:t>
      </w:r>
      <w:r>
        <w:t xml:space="preserve">Die Bewertung der Varianten mit NIBA soll mit externer Unterstützung erfolgen. Für die Akzeptanz der Ergebnisse der Bewertung ist eine neutrale Unterstützung </w:t>
      </w:r>
      <w:r>
        <w:t xml:space="preserve">mit </w:t>
      </w:r>
      <w:r>
        <w:t>eine</w:t>
      </w:r>
      <w:r>
        <w:t>r</w:t>
      </w:r>
      <w:r>
        <w:t xml:space="preserve"> e</w:t>
      </w:r>
      <w:r>
        <w:t>rprobte</w:t>
      </w:r>
      <w:r>
        <w:t>n</w:t>
      </w:r>
      <w:r>
        <w:t xml:space="preserve"> und nachvollziehbare</w:t>
      </w:r>
      <w:r>
        <w:t>n</w:t>
      </w:r>
      <w:r>
        <w:t xml:space="preserve"> Methode </w:t>
      </w:r>
      <w:r>
        <w:t>die Vorausse</w:t>
      </w:r>
      <w:r>
        <w:t>t</w:t>
      </w:r>
      <w:r>
        <w:t>zung</w:t>
      </w:r>
      <w:r>
        <w:t xml:space="preserve">. </w:t>
      </w:r>
    </w:p>
    <w:p w:rsidR="00921560" w:rsidRDefault="0074747F">
      <w:pPr>
        <w:pStyle w:val="Textkrper"/>
      </w:pPr>
      <w:r>
        <w:t>Die Baudirektion hat für die Varianten-Evaluation die Firma Ernst Basler + Partner AG, Z</w:t>
      </w:r>
      <w:r>
        <w:t>ü</w:t>
      </w:r>
      <w:r>
        <w:t>rich zu einer Offerte eingeladen. Diese Unternehmung unterstützte das BAV bei der Vorb</w:t>
      </w:r>
      <w:r>
        <w:t>e</w:t>
      </w:r>
      <w:r>
        <w:t>reitung und Erstellung der Botschaft zu FABI und a</w:t>
      </w:r>
      <w:r>
        <w:t>ktualisierte die Berechnungsfaktoren und d</w:t>
      </w:r>
      <w:r>
        <w:t>ie</w:t>
      </w:r>
      <w:r>
        <w:t xml:space="preserve"> Wertgerüst</w:t>
      </w:r>
      <w:r>
        <w:t>e</w:t>
      </w:r>
      <w:r>
        <w:t xml:space="preserve"> von NIBA. Für die Varianten-Evaluation rechnet Ernst Balser + Partner AG in ihrer Offerte mit Kosten in der Höhe von Fr. 80‘000.-. Mit der Zustimmung zum vorliege</w:t>
      </w:r>
      <w:r>
        <w:t>n</w:t>
      </w:r>
      <w:r>
        <w:t>den Vorgeh</w:t>
      </w:r>
      <w:r>
        <w:t>e</w:t>
      </w:r>
      <w:r>
        <w:t xml:space="preserve">nsvorschlag </w:t>
      </w:r>
      <w:r>
        <w:t>soll gleichze</w:t>
      </w:r>
      <w:r>
        <w:t>itig ein Betrag von Fr. 80‘000.- als Kostendach für die Varianten-Evaluation</w:t>
      </w:r>
      <w:r>
        <w:t xml:space="preserve"> </w:t>
      </w:r>
      <w:r>
        <w:t xml:space="preserve">gesprochen werden. </w:t>
      </w:r>
    </w:p>
    <w:p w:rsidR="00921560" w:rsidRDefault="0074747F" w:rsidP="00921560">
      <w:pPr>
        <w:pStyle w:val="Textkrper"/>
        <w:spacing w:after="0"/>
      </w:pPr>
      <w:r>
        <w:t>5.</w:t>
      </w:r>
    </w:p>
    <w:p w:rsidR="00CA5FE4" w:rsidRDefault="0074747F">
      <w:pPr>
        <w:pStyle w:val="Textkrper"/>
      </w:pPr>
      <w:r>
        <w:t xml:space="preserve">Das BAV hat </w:t>
      </w:r>
      <w:r>
        <w:t>festgehalten</w:t>
      </w:r>
      <w:r>
        <w:t xml:space="preserve">, dass im Rahmen von FABI zahlreiche Infrastrukturprojekte der Bahn </w:t>
      </w:r>
      <w:r>
        <w:t>s</w:t>
      </w:r>
      <w:r>
        <w:t>chweizweit</w:t>
      </w:r>
      <w:r>
        <w:t xml:space="preserve"> auf finanzielle Mittel des Bundes hoffen. Darunter s</w:t>
      </w:r>
      <w:r>
        <w:t xml:space="preserve">ind </w:t>
      </w:r>
      <w:r>
        <w:t>auch</w:t>
      </w:r>
      <w:r>
        <w:t xml:space="preserve"> Projekte</w:t>
      </w:r>
      <w:r>
        <w:t>,</w:t>
      </w:r>
      <w:r>
        <w:t xml:space="preserve"> we</w:t>
      </w:r>
      <w:r>
        <w:t>l</w:t>
      </w:r>
      <w:r>
        <w:t xml:space="preserve">che Ausführungsvarianten mit unterschiedlichen Kostengrössen umfassen. </w:t>
      </w:r>
      <w:r>
        <w:t>Es sind dies</w:t>
      </w:r>
      <w:r>
        <w:t xml:space="preserve"> auch Tunnelvarianten</w:t>
      </w:r>
      <w:r>
        <w:t>,</w:t>
      </w:r>
      <w:r>
        <w:t xml:space="preserve"> </w:t>
      </w:r>
      <w:r>
        <w:t>denen</w:t>
      </w:r>
      <w:r>
        <w:t xml:space="preserve"> alternative à</w:t>
      </w:r>
      <w:r>
        <w:t>-</w:t>
      </w:r>
      <w:r>
        <w:t>Niveau</w:t>
      </w:r>
      <w:r>
        <w:t>-V</w:t>
      </w:r>
      <w:r>
        <w:t>arianten gegenübergestellt werden kö</w:t>
      </w:r>
      <w:r>
        <w:t>n</w:t>
      </w:r>
      <w:r>
        <w:t xml:space="preserve">nen. Vor dem Hintergrund knapper Mittel beim Bund wird das BAV </w:t>
      </w:r>
      <w:r>
        <w:t>als Basis für die Vergabe von Mitteln jeweils die bewilligungsfähige à</w:t>
      </w:r>
      <w:r>
        <w:t>-</w:t>
      </w:r>
      <w:r>
        <w:t>Niveau</w:t>
      </w:r>
      <w:r>
        <w:t>-V</w:t>
      </w:r>
      <w:r>
        <w:t xml:space="preserve">ariante als </w:t>
      </w:r>
      <w:r>
        <w:t>Grundlage</w:t>
      </w:r>
      <w:r>
        <w:t xml:space="preserve"> heranziehen. Aus diesem Grund ist es wichtig, eine Gesamtschau aller Planungsvarianten im Vergleich zur Referenzvariante vorzunehmen</w:t>
      </w:r>
      <w:r>
        <w:t xml:space="preserve"> und hinsichtlich einer</w:t>
      </w:r>
      <w:r>
        <w:t xml:space="preserve"> finanziellen Beteiligung des Bundes die à-Niveau-Variante mit ein zu beziehen</w:t>
      </w:r>
      <w:r>
        <w:t>.</w:t>
      </w:r>
      <w:r>
        <w:t xml:space="preserve"> Soll eine gegenüber der </w:t>
      </w:r>
      <w:r>
        <w:t>à</w:t>
      </w:r>
      <w:r>
        <w:t>-Niveau-Variante teur</w:t>
      </w:r>
      <w:r>
        <w:t>e</w:t>
      </w:r>
      <w:r>
        <w:t xml:space="preserve">re Variante realisiert werden, sind die </w:t>
      </w:r>
      <w:r>
        <w:t>Mehrkosten</w:t>
      </w:r>
      <w:r>
        <w:t xml:space="preserve"> </w:t>
      </w:r>
      <w:r>
        <w:t xml:space="preserve">voraussichtlich </w:t>
      </w:r>
      <w:r>
        <w:t>ohne Bund</w:t>
      </w:r>
      <w:r>
        <w:t xml:space="preserve"> </w:t>
      </w:r>
      <w:r>
        <w:t xml:space="preserve">zu </w:t>
      </w:r>
      <w:r>
        <w:t>finanzieren</w:t>
      </w:r>
      <w:r>
        <w:t xml:space="preserve">. </w:t>
      </w:r>
    </w:p>
    <w:p w:rsidR="00825BFD" w:rsidRDefault="0074747F">
      <w:pPr>
        <w:jc w:val="left"/>
      </w:pPr>
      <w:r>
        <w:br w:type="page"/>
      </w:r>
    </w:p>
    <w:p w:rsidR="005A72ED" w:rsidRDefault="0074747F" w:rsidP="00016E46">
      <w:pPr>
        <w:pStyle w:val="Textkrper"/>
        <w:spacing w:after="0"/>
      </w:pPr>
      <w:r>
        <w:lastRenderedPageBreak/>
        <w:t>6</w:t>
      </w:r>
      <w:r>
        <w:t>.</w:t>
      </w:r>
      <w:r>
        <w:br/>
      </w:r>
      <w:r>
        <w:t xml:space="preserve">Wie bereits erwähnt, wurde das Auflageprojekt sistiert. </w:t>
      </w:r>
      <w:r>
        <w:t>Zuerst wurde vom BAV mit Schreiben vom 24. November 2010 das Plangenehmigungsverfahren für das Auflageprojekt bis zum 30. Juni 2011 sistiert. Anschliessend hatte d</w:t>
      </w:r>
      <w:r>
        <w:t>ie Politstrategische Führung des A</w:t>
      </w:r>
      <w:r>
        <w:t>g</w:t>
      </w:r>
      <w:r>
        <w:t>gl</w:t>
      </w:r>
      <w:r>
        <w:t>oprogramms Luzern als Entscheidgremium an seiner Sitzung vom 15. Juni 2011</w:t>
      </w:r>
      <w:r>
        <w:t xml:space="preserve"> ebenfalls </w:t>
      </w:r>
      <w:r>
        <w:t>beschlossen</w:t>
      </w:r>
      <w:r>
        <w:t>,</w:t>
      </w:r>
      <w:r>
        <w:t xml:space="preserve"> das Auflageprojekt bis </w:t>
      </w:r>
      <w:r>
        <w:t>Ende</w:t>
      </w:r>
      <w:r>
        <w:t xml:space="preserve"> 2013 zu sistieren.</w:t>
      </w:r>
      <w:r>
        <w:t xml:space="preserve"> Ab diesem Zeitpunkt gibt es vier Handlungsmöglichkeiten. Es sind dies der Bau des Tunnels lang, de</w:t>
      </w:r>
      <w:r>
        <w:t>r</w:t>
      </w:r>
      <w:r>
        <w:t xml:space="preserve"> Bau des Tun</w:t>
      </w:r>
      <w:r>
        <w:t>nels kurz, die Nullvariante (Einspurstrecke beibehalten) oder de</w:t>
      </w:r>
      <w:r>
        <w:t>r</w:t>
      </w:r>
      <w:r>
        <w:t xml:space="preserve"> Bau des Auflageprojekts.</w:t>
      </w:r>
      <w:r>
        <w:t xml:space="preserve"> Soll ein m</w:t>
      </w:r>
      <w:r>
        <w:t>o</w:t>
      </w:r>
      <w:r>
        <w:t xml:space="preserve">difiziertes Auflageprojekt realisiert werden, so ist </w:t>
      </w:r>
      <w:r>
        <w:t xml:space="preserve">dafür </w:t>
      </w:r>
      <w:r>
        <w:t>ein neues Plangenehmigungsverfa</w:t>
      </w:r>
      <w:r>
        <w:t>h</w:t>
      </w:r>
      <w:r>
        <w:t xml:space="preserve">ren einzuleiten. </w:t>
      </w:r>
    </w:p>
    <w:p w:rsidR="006B060A" w:rsidRPr="00E25C32" w:rsidRDefault="0074747F">
      <w:pPr>
        <w:pStyle w:val="Textkrper"/>
      </w:pPr>
      <w:r>
        <w:t xml:space="preserve"> </w:t>
      </w:r>
    </w:p>
    <w:p w:rsidR="003E2E41" w:rsidRDefault="0074747F">
      <w:pPr>
        <w:pStyle w:val="berschrift1"/>
      </w:pPr>
      <w:r>
        <w:t>Beschluss</w:t>
      </w:r>
    </w:p>
    <w:p w:rsidR="003E2E41" w:rsidRDefault="0074747F" w:rsidP="005B187B">
      <w:pPr>
        <w:pStyle w:val="Nummeriert"/>
        <w:numPr>
          <w:ilvl w:val="0"/>
          <w:numId w:val="4"/>
        </w:numPr>
        <w:tabs>
          <w:tab w:val="left" w:pos="284"/>
        </w:tabs>
        <w:spacing w:after="120"/>
        <w:ind w:left="284" w:hanging="284"/>
      </w:pPr>
      <w:r>
        <w:t>Dem Vorgehensvorschlag der Baudir</w:t>
      </w:r>
      <w:r>
        <w:t xml:space="preserve">ektion für </w:t>
      </w:r>
      <w:r>
        <w:t>die Evaluation</w:t>
      </w:r>
      <w:r>
        <w:t xml:space="preserve"> aller Planungsvarian</w:t>
      </w:r>
      <w:r>
        <w:t>ten für</w:t>
      </w:r>
      <w:r>
        <w:t xml:space="preserve"> </w:t>
      </w:r>
      <w:r>
        <w:t>einen Doppelspurausbau in Hergiswil</w:t>
      </w:r>
      <w:r>
        <w:t xml:space="preserve"> wird zugestimmt</w:t>
      </w:r>
      <w:r>
        <w:t>.</w:t>
      </w:r>
    </w:p>
    <w:p w:rsidR="005B187B" w:rsidRDefault="0074747F" w:rsidP="005B187B">
      <w:pPr>
        <w:pStyle w:val="Nummeriert"/>
        <w:numPr>
          <w:ilvl w:val="0"/>
          <w:numId w:val="4"/>
        </w:numPr>
        <w:tabs>
          <w:tab w:val="left" w:pos="284"/>
        </w:tabs>
        <w:spacing w:after="120"/>
        <w:ind w:left="284" w:hanging="284"/>
      </w:pPr>
      <w:r>
        <w:t>Dem Nachtragskredit für die externe Unterstützung der Varianten-Evaluation zum Doppel-spurausbau der zb in Hergiswil mit einem Kostendach von Fr. 80‘</w:t>
      </w:r>
      <w:r>
        <w:t>000.- wird zugestimmt.</w:t>
      </w:r>
    </w:p>
    <w:p w:rsidR="00145ADF" w:rsidRDefault="0074747F" w:rsidP="00145ADF">
      <w:pPr>
        <w:pStyle w:val="Nummeriert"/>
        <w:spacing w:after="0"/>
        <w:ind w:left="0" w:firstLine="0"/>
      </w:pPr>
    </w:p>
    <w:p w:rsidR="003E2E41" w:rsidRDefault="0074747F">
      <w:pPr>
        <w:pStyle w:val="Verteilertitel"/>
      </w:pPr>
      <w:r>
        <w:t>Mitteilung durch Protokollauszug an:</w:t>
      </w:r>
    </w:p>
    <w:p w:rsidR="003E2E41" w:rsidRDefault="0074747F">
      <w:pPr>
        <w:pStyle w:val="Verteiler"/>
        <w:numPr>
          <w:ilvl w:val="0"/>
          <w:numId w:val="3"/>
        </w:numPr>
        <w:ind w:left="284" w:hanging="284"/>
      </w:pPr>
      <w:r>
        <w:t>Bundesamt für Verkehr, Sektion Infrastruktur</w:t>
      </w:r>
      <w:r>
        <w:t>, 3003 Bern</w:t>
      </w:r>
    </w:p>
    <w:p w:rsidR="00EA3B41" w:rsidRDefault="0074747F">
      <w:pPr>
        <w:pStyle w:val="Verteiler"/>
        <w:numPr>
          <w:ilvl w:val="0"/>
          <w:numId w:val="3"/>
        </w:numPr>
        <w:ind w:left="284" w:hanging="284"/>
      </w:pPr>
      <w:r>
        <w:t>Bau, Umwelt und Wirtschaftsdepartement Luzern</w:t>
      </w:r>
    </w:p>
    <w:p w:rsidR="00EA3B41" w:rsidRDefault="0074747F">
      <w:pPr>
        <w:pStyle w:val="Verteiler"/>
        <w:numPr>
          <w:ilvl w:val="0"/>
          <w:numId w:val="3"/>
        </w:numPr>
        <w:ind w:left="284" w:hanging="284"/>
      </w:pPr>
      <w:r>
        <w:t xml:space="preserve">Volkswirtschaftsdepartment Obwalden </w:t>
      </w:r>
    </w:p>
    <w:p w:rsidR="00EA46CE" w:rsidRDefault="0074747F">
      <w:pPr>
        <w:pStyle w:val="Verteiler"/>
        <w:numPr>
          <w:ilvl w:val="0"/>
          <w:numId w:val="3"/>
        </w:numPr>
        <w:ind w:left="284" w:hanging="284"/>
      </w:pPr>
      <w:r>
        <w:t>Gemeinderat Hergiswil</w:t>
      </w:r>
    </w:p>
    <w:p w:rsidR="00EA46CE" w:rsidRDefault="0074747F">
      <w:pPr>
        <w:pStyle w:val="Verteiler"/>
        <w:numPr>
          <w:ilvl w:val="0"/>
          <w:numId w:val="3"/>
        </w:numPr>
        <w:ind w:left="284" w:hanging="284"/>
      </w:pPr>
      <w:r>
        <w:t xml:space="preserve">Zentralbahn AG, </w:t>
      </w:r>
      <w:r>
        <w:t>Bahnhofstrasse 23,</w:t>
      </w:r>
      <w:r>
        <w:t xml:space="preserve"> </w:t>
      </w:r>
      <w:r>
        <w:t>6362 Stansstad</w:t>
      </w:r>
    </w:p>
    <w:p w:rsidR="00EA46CE" w:rsidRDefault="0074747F">
      <w:pPr>
        <w:pStyle w:val="Verteiler"/>
        <w:numPr>
          <w:ilvl w:val="0"/>
          <w:numId w:val="3"/>
        </w:numPr>
        <w:ind w:left="284" w:hanging="284"/>
      </w:pPr>
      <w:r>
        <w:t>Mitglieder des Steuerungsgremiums zum Vorprojekt Tunnel lang</w:t>
      </w:r>
    </w:p>
    <w:p w:rsidR="0029051C" w:rsidRDefault="0074747F">
      <w:pPr>
        <w:pStyle w:val="Verteiler"/>
        <w:numPr>
          <w:ilvl w:val="0"/>
          <w:numId w:val="3"/>
        </w:numPr>
        <w:ind w:left="284" w:hanging="284"/>
      </w:pPr>
      <w:r>
        <w:t>Kommission für Bildung, Kultur und Volkswirtschaft (BKV) (Präsidium, Vizepräsidium und Sekretariat)</w:t>
      </w:r>
    </w:p>
    <w:p w:rsidR="0029051C" w:rsidRDefault="0074747F">
      <w:pPr>
        <w:pStyle w:val="Verteiler"/>
        <w:numPr>
          <w:ilvl w:val="0"/>
          <w:numId w:val="3"/>
        </w:numPr>
        <w:ind w:left="284" w:hanging="284"/>
      </w:pPr>
      <w:r>
        <w:t>Kommission für Bau, Planung, Landwirtschaft und Umwelt (BUL) (Präsidium, Vizepr</w:t>
      </w:r>
      <w:r>
        <w:t>äsid</w:t>
      </w:r>
      <w:r>
        <w:t>i</w:t>
      </w:r>
      <w:r>
        <w:t>um und Sekretariat)</w:t>
      </w:r>
    </w:p>
    <w:p w:rsidR="00065573" w:rsidRDefault="0074747F">
      <w:pPr>
        <w:pStyle w:val="Verteiler"/>
        <w:numPr>
          <w:ilvl w:val="0"/>
          <w:numId w:val="3"/>
        </w:numPr>
        <w:ind w:left="284" w:hanging="284"/>
      </w:pPr>
      <w:r>
        <w:t>Baudirektion</w:t>
      </w:r>
    </w:p>
    <w:p w:rsidR="00065573" w:rsidRDefault="0074747F" w:rsidP="00065573">
      <w:pPr>
        <w:pStyle w:val="Verteiler"/>
        <w:numPr>
          <w:ilvl w:val="0"/>
          <w:numId w:val="3"/>
        </w:numPr>
        <w:ind w:left="284" w:hanging="284"/>
      </w:pPr>
      <w:r>
        <w:t>Direktionssekretariat Baudirektion</w:t>
      </w:r>
    </w:p>
    <w:p w:rsidR="00065573" w:rsidRDefault="0074747F">
      <w:pPr>
        <w:pStyle w:val="Verteiler"/>
        <w:numPr>
          <w:ilvl w:val="0"/>
          <w:numId w:val="3"/>
        </w:numPr>
        <w:ind w:left="284" w:hanging="284"/>
      </w:pPr>
      <w:r>
        <w:t xml:space="preserve">Fachstelle öV und Projektentwicklung </w:t>
      </w:r>
    </w:p>
    <w:p w:rsidR="003E2E41" w:rsidRDefault="0074747F">
      <w:pPr>
        <w:tabs>
          <w:tab w:val="center" w:pos="7088"/>
        </w:tabs>
      </w:pPr>
    </w:p>
    <w:p w:rsidR="009E2BD1" w:rsidRDefault="0074747F">
      <w:pPr>
        <w:tabs>
          <w:tab w:val="center" w:pos="7088"/>
        </w:tabs>
        <w:rPr>
          <w:sz w:val="16"/>
          <w:szCs w:val="16"/>
        </w:rPr>
      </w:pPr>
      <w:r w:rsidRPr="00BB6812">
        <w:rPr>
          <w:sz w:val="16"/>
          <w:szCs w:val="16"/>
        </w:rPr>
        <w:t>NWBD.269</w:t>
      </w:r>
    </w:p>
    <w:p w:rsidR="00016E46" w:rsidRPr="00016E46" w:rsidRDefault="0074747F">
      <w:pPr>
        <w:tabs>
          <w:tab w:val="center" w:pos="7088"/>
        </w:tabs>
        <w:rPr>
          <w:szCs w:val="22"/>
        </w:rPr>
      </w:pPr>
    </w:p>
    <w:p w:rsidR="003E2E41" w:rsidRDefault="00AE5CD7">
      <w:pPr>
        <w:pStyle w:val="Unterschrift"/>
      </w:pPr>
      <w:r>
        <w:rPr>
          <w:noProof/>
          <w:lang w:eastAsia="de-CH"/>
        </w:rPr>
        <w:pict>
          <v:group id="_x0000_s1026" style="position:absolute;margin-left:178.85pt;margin-top:27.65pt;width:196pt;height:99pt;z-index:-251658240" coordorigin="5145,10820" coordsize="39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 o:spid="_x0000_s1027" type="#_x0000_t75" style="position:absolute;left:5145;top:10820;width:2025;height:1980;visibility:visible;mso-wrap-style:square;mso-wrap-distance-left:.00025mm;mso-wrap-distance-top:0;mso-wrap-distance-right:.00025mm;mso-wrap-distance-bottom:0">
              <v:imagedata r:id="rId9" o:title="" gain="109227f" blacklevel="-6554f"/>
            </v:shape>
            <v:shape id="Bild 19" o:spid="_x0000_s1028" type="#_x0000_t75" style="position:absolute;left:7610;top:11361;width:1455;height:705;visibility:visible;mso-wrap-style:square;mso-wrap-distance-left:.00025mm;mso-wrap-distance-top:0;mso-wrap-distance-right:.00025mm;mso-wrap-distance-bottom:0">
              <v:imagedata r:id="rId10" o:title=""/>
            </v:shape>
          </v:group>
        </w:pict>
      </w:r>
      <w:r w:rsidR="0074747F">
        <w:tab/>
        <w:t>REGIERUNGSRAT NIDWALDEN</w:t>
      </w:r>
      <w:r w:rsidR="0074747F">
        <w:br/>
      </w:r>
      <w:r w:rsidR="0074747F">
        <w:br/>
      </w:r>
      <w:r w:rsidR="0074747F">
        <w:tab/>
      </w:r>
      <w:r w:rsidR="0074747F">
        <w:tab/>
        <w:t>Landschreiber</w:t>
      </w:r>
    </w:p>
    <w:p w:rsidR="003E2E41" w:rsidRDefault="0074747F"/>
    <w:sectPr w:rsidR="003E2E41" w:rsidSect="006C67E8">
      <w:headerReference w:type="default" r:id="rId11"/>
      <w:headerReference w:type="first" r:id="rId12"/>
      <w:pgSz w:w="11907" w:h="16840" w:code="9"/>
      <w:pgMar w:top="1134" w:right="1134" w:bottom="1191" w:left="1134" w:header="454"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CD7" w:rsidRDefault="00AE5CD7" w:rsidP="00AE5CD7">
      <w:r>
        <w:separator/>
      </w:r>
    </w:p>
  </w:endnote>
  <w:endnote w:type="continuationSeparator" w:id="0">
    <w:p w:rsidR="00AE5CD7" w:rsidRDefault="00AE5CD7" w:rsidP="00AE5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R-TM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w:panose1 w:val="020B06020202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CD7" w:rsidRDefault="00AE5CD7" w:rsidP="00AE5CD7">
      <w:r>
        <w:separator/>
      </w:r>
    </w:p>
  </w:footnote>
  <w:footnote w:type="continuationSeparator" w:id="0">
    <w:p w:rsidR="00AE5CD7" w:rsidRDefault="00AE5CD7" w:rsidP="00AE5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2F" w:rsidRDefault="00AE5CD7">
    <w:pPr>
      <w:pStyle w:val="Kopfzeile"/>
    </w:pPr>
    <w:r>
      <w:rPr>
        <w:rStyle w:val="Seitenzahl"/>
      </w:rPr>
      <w:fldChar w:fldCharType="begin"/>
    </w:r>
    <w:r w:rsidR="0074747F">
      <w:rPr>
        <w:rStyle w:val="Seitenzahl"/>
      </w:rPr>
      <w:instrText xml:space="preserve"> PAGE </w:instrText>
    </w:r>
    <w:r>
      <w:rPr>
        <w:rStyle w:val="Seitenzahl"/>
      </w:rPr>
      <w:fldChar w:fldCharType="separate"/>
    </w:r>
    <w:r w:rsidR="0074747F">
      <w:rPr>
        <w:rStyle w:val="Seitenzahl"/>
        <w:noProof/>
      </w:rPr>
      <w:t>2</w:t>
    </w:r>
    <w:r>
      <w:rPr>
        <w:rStyle w:val="Seitenzah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2F" w:rsidRDefault="0074747F">
    <w:pPr>
      <w:pStyle w:val="Kopfzeile"/>
      <w:rPr>
        <w:sz w:val="2"/>
      </w:rPr>
    </w:pPr>
  </w:p>
  <w:tbl>
    <w:tblPr>
      <w:tblW w:w="9072" w:type="dxa"/>
      <w:tblLayout w:type="fixed"/>
      <w:tblCellMar>
        <w:left w:w="0" w:type="dxa"/>
        <w:right w:w="0" w:type="dxa"/>
      </w:tblCellMar>
      <w:tblLook w:val="04A0"/>
    </w:tblPr>
    <w:tblGrid>
      <w:gridCol w:w="896"/>
      <w:gridCol w:w="8176"/>
    </w:tblGrid>
    <w:tr w:rsidR="00AE5CD7" w:rsidTr="004531DA">
      <w:trPr>
        <w:cantSplit/>
        <w:trHeight w:val="196"/>
      </w:trPr>
      <w:tc>
        <w:tcPr>
          <w:tcW w:w="896" w:type="dxa"/>
        </w:tcPr>
        <w:p w:rsidR="004A652F" w:rsidRPr="00650B34" w:rsidRDefault="0074747F" w:rsidP="0048260B">
          <w:pPr>
            <w:jc w:val="center"/>
            <w:rPr>
              <w:rFonts w:cs="Tahoma"/>
              <w:noProof/>
              <w:sz w:val="20"/>
              <w:lang w:eastAsia="de-CH"/>
            </w:rPr>
          </w:pPr>
          <w:r>
            <w:rPr>
              <w:rFonts w:cs="Tahoma"/>
              <w:noProof/>
              <w:sz w:val="20"/>
              <w:lang w:eastAsia="de-CH"/>
            </w:rPr>
            <w:drawing>
              <wp:inline distT="0" distB="0" distL="0" distR="0">
                <wp:extent cx="548640" cy="534035"/>
                <wp:effectExtent l="19050" t="0" r="3810" b="0"/>
                <wp:docPr id="204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l="1633" t="1093" r="2177" b="35960"/>
                        <a:stretch>
                          <a:fillRect/>
                        </a:stretch>
                      </pic:blipFill>
                      <pic:spPr bwMode="auto">
                        <a:xfrm>
                          <a:off x="0" y="0"/>
                          <a:ext cx="548640" cy="534035"/>
                        </a:xfrm>
                        <a:prstGeom prst="rect">
                          <a:avLst/>
                        </a:prstGeom>
                        <a:noFill/>
                        <a:ln w="9525">
                          <a:noFill/>
                          <a:miter lim="800000"/>
                        </a:ln>
                      </pic:spPr>
                    </pic:pic>
                  </a:graphicData>
                </a:graphic>
              </wp:inline>
            </w:drawing>
          </w:r>
        </w:p>
      </w:tc>
      <w:tc>
        <w:tcPr>
          <w:tcW w:w="8176" w:type="dxa"/>
          <w:vMerge w:val="restart"/>
        </w:tcPr>
        <w:tbl>
          <w:tblPr>
            <w:tblpPr w:leftFromText="141" w:rightFromText="141" w:vertAnchor="text" w:horzAnchor="margin" w:tblpY="843"/>
            <w:tblOverlap w:val="never"/>
            <w:tblW w:w="8537" w:type="dxa"/>
            <w:tblInd w:w="2" w:type="dxa"/>
            <w:tblBorders>
              <w:top w:val="single" w:sz="2" w:space="0" w:color="000000"/>
            </w:tblBorders>
            <w:tblLayout w:type="fixed"/>
            <w:tblCellMar>
              <w:left w:w="0" w:type="dxa"/>
              <w:right w:w="0" w:type="dxa"/>
            </w:tblCellMar>
            <w:tblLook w:val="04A0"/>
          </w:tblPr>
          <w:tblGrid>
            <w:gridCol w:w="152"/>
            <w:gridCol w:w="2268"/>
            <w:gridCol w:w="158"/>
            <w:gridCol w:w="2264"/>
            <w:gridCol w:w="140"/>
            <w:gridCol w:w="3555"/>
          </w:tblGrid>
          <w:tr w:rsidR="00AE5CD7" w:rsidTr="00C5256B">
            <w:trPr>
              <w:trHeight w:val="284"/>
            </w:trPr>
            <w:tc>
              <w:tcPr>
                <w:tcW w:w="152" w:type="dxa"/>
                <w:tcBorders>
                  <w:top w:val="nil"/>
                </w:tcBorders>
              </w:tcPr>
              <w:p w:rsidR="004A652F" w:rsidRPr="00650B34" w:rsidRDefault="0074747F" w:rsidP="00650B34">
                <w:pPr>
                  <w:spacing w:before="60"/>
                  <w:jc w:val="left"/>
                  <w:rPr>
                    <w:rFonts w:ascii="Gill Sans" w:hAnsi="Gill Sans" w:cs="Arial"/>
                    <w:caps/>
                    <w:sz w:val="14"/>
                    <w:szCs w:val="14"/>
                  </w:rPr>
                </w:pPr>
              </w:p>
            </w:tc>
            <w:tc>
              <w:tcPr>
                <w:tcW w:w="2268" w:type="dxa"/>
                <w:tcBorders>
                  <w:top w:val="single" w:sz="2" w:space="0" w:color="000000"/>
                </w:tcBorders>
              </w:tcPr>
              <w:p w:rsidR="004A652F" w:rsidRPr="00650B34" w:rsidRDefault="0074747F" w:rsidP="00650B34">
                <w:pPr>
                  <w:spacing w:before="60"/>
                  <w:jc w:val="left"/>
                  <w:rPr>
                    <w:rFonts w:ascii="Gill Sans" w:hAnsi="Gill Sans" w:cs="Arial"/>
                    <w:caps/>
                    <w:sz w:val="14"/>
                    <w:szCs w:val="14"/>
                  </w:rPr>
                </w:pPr>
                <w:r>
                  <w:rPr>
                    <w:rFonts w:ascii="Gill Sans" w:hAnsi="Gill Sans" w:cs="Arial"/>
                    <w:caps/>
                    <w:sz w:val="14"/>
                    <w:szCs w:val="14"/>
                  </w:rPr>
                  <w:t>REGIERUNGSRAT</w:t>
                </w:r>
              </w:p>
            </w:tc>
            <w:tc>
              <w:tcPr>
                <w:tcW w:w="158" w:type="dxa"/>
                <w:tcBorders>
                  <w:top w:val="nil"/>
                </w:tcBorders>
              </w:tcPr>
              <w:p w:rsidR="004A652F" w:rsidRPr="00650B34" w:rsidRDefault="0074747F" w:rsidP="00650B34">
                <w:pPr>
                  <w:spacing w:before="60" w:after="60"/>
                  <w:rPr>
                    <w:rFonts w:cs="Tahoma"/>
                  </w:rPr>
                </w:pPr>
              </w:p>
            </w:tc>
            <w:tc>
              <w:tcPr>
                <w:tcW w:w="2264" w:type="dxa"/>
              </w:tcPr>
              <w:p w:rsidR="004A652F" w:rsidRPr="00650B34" w:rsidRDefault="0074747F" w:rsidP="00650B34">
                <w:pPr>
                  <w:spacing w:before="60"/>
                  <w:jc w:val="left"/>
                  <w:rPr>
                    <w:rFonts w:ascii="Gill Sans" w:hAnsi="Gill Sans" w:cs="Arial"/>
                    <w:caps/>
                    <w:sz w:val="14"/>
                    <w:szCs w:val="14"/>
                  </w:rPr>
                </w:pPr>
              </w:p>
            </w:tc>
            <w:tc>
              <w:tcPr>
                <w:tcW w:w="140" w:type="dxa"/>
                <w:tcBorders>
                  <w:top w:val="nil"/>
                </w:tcBorders>
              </w:tcPr>
              <w:p w:rsidR="004A652F" w:rsidRPr="00650B34" w:rsidRDefault="0074747F" w:rsidP="00650B34">
                <w:pPr>
                  <w:spacing w:before="60" w:after="60"/>
                  <w:rPr>
                    <w:rFonts w:cs="Tahoma"/>
                  </w:rPr>
                </w:pPr>
              </w:p>
            </w:tc>
            <w:tc>
              <w:tcPr>
                <w:tcW w:w="3555" w:type="dxa"/>
              </w:tcPr>
              <w:p w:rsidR="004A652F" w:rsidRPr="00650B34" w:rsidRDefault="0074747F" w:rsidP="006759BE">
                <w:pPr>
                  <w:spacing w:before="60"/>
                  <w:jc w:val="left"/>
                  <w:rPr>
                    <w:rFonts w:ascii="Gill Sans" w:hAnsi="Gill Sans" w:cs="Arial"/>
                    <w:sz w:val="14"/>
                    <w:szCs w:val="14"/>
                  </w:rPr>
                </w:pPr>
                <w:r>
                  <w:rPr>
                    <w:rFonts w:ascii="Gill Sans" w:hAnsi="Gill Sans" w:cs="Arial"/>
                    <w:caps/>
                    <w:sz w:val="14"/>
                    <w:szCs w:val="14"/>
                  </w:rPr>
                  <w:t>PROTOKOLLAUSZUG</w:t>
                </w:r>
              </w:p>
            </w:tc>
          </w:tr>
        </w:tbl>
        <w:p w:rsidR="004A652F" w:rsidRDefault="0074747F" w:rsidP="00650B34">
          <w:pPr>
            <w:jc w:val="left"/>
            <w:rPr>
              <w:rFonts w:cs="Tahoma"/>
              <w:sz w:val="20"/>
            </w:rPr>
          </w:pPr>
        </w:p>
        <w:p w:rsidR="004A652F" w:rsidRPr="0048260B" w:rsidRDefault="0074747F" w:rsidP="0048260B">
          <w:pPr>
            <w:ind w:firstLine="709"/>
            <w:rPr>
              <w:rFonts w:cs="Tahoma"/>
              <w:sz w:val="20"/>
            </w:rPr>
          </w:pPr>
        </w:p>
      </w:tc>
    </w:tr>
    <w:tr w:rsidR="00AE5CD7" w:rsidTr="004531DA">
      <w:trPr>
        <w:cantSplit/>
        <w:trHeight w:val="195"/>
      </w:trPr>
      <w:tc>
        <w:tcPr>
          <w:tcW w:w="896" w:type="dxa"/>
        </w:tcPr>
        <w:p w:rsidR="004A652F" w:rsidRPr="00650B34" w:rsidRDefault="0074747F" w:rsidP="00650B34">
          <w:pPr>
            <w:spacing w:before="60"/>
            <w:jc w:val="center"/>
            <w:rPr>
              <w:rFonts w:ascii="Gill Sans" w:hAnsi="Gill Sans" w:cs="Arial"/>
              <w:caps/>
              <w:noProof/>
              <w:sz w:val="14"/>
              <w:szCs w:val="14"/>
              <w:lang w:eastAsia="de-CH"/>
            </w:rPr>
          </w:pPr>
          <w:r w:rsidRPr="00650B34">
            <w:rPr>
              <w:rFonts w:ascii="Gill Sans" w:hAnsi="Gill Sans" w:cs="Arial"/>
              <w:caps/>
              <w:noProof/>
              <w:sz w:val="14"/>
              <w:szCs w:val="14"/>
              <w:lang w:eastAsia="de-CH"/>
            </w:rPr>
            <w:t>Kanton Nidwalden</w:t>
          </w:r>
        </w:p>
      </w:tc>
      <w:tc>
        <w:tcPr>
          <w:tcW w:w="8176" w:type="dxa"/>
          <w:vMerge/>
        </w:tcPr>
        <w:p w:rsidR="004A652F" w:rsidRPr="00650B34" w:rsidRDefault="0074747F" w:rsidP="00650B34">
          <w:pPr>
            <w:spacing w:before="60"/>
            <w:jc w:val="left"/>
            <w:rPr>
              <w:rFonts w:ascii="Gill Sans" w:hAnsi="Gill Sans" w:cs="Arial"/>
              <w:caps/>
              <w:sz w:val="14"/>
              <w:szCs w:val="14"/>
            </w:rPr>
          </w:pPr>
        </w:p>
      </w:tc>
    </w:tr>
  </w:tbl>
  <w:p w:rsidR="004A652F" w:rsidRPr="00650B34" w:rsidRDefault="0074747F" w:rsidP="00650B34">
    <w:pPr>
      <w:tabs>
        <w:tab w:val="center" w:pos="4536"/>
        <w:tab w:val="right" w:pos="9072"/>
      </w:tabs>
      <w:jc w:val="left"/>
      <w:rPr>
        <w:rFonts w:cs="Tahoma"/>
        <w:sz w:val="20"/>
      </w:rPr>
    </w:pPr>
  </w:p>
  <w:p w:rsidR="004A652F" w:rsidRDefault="0074747F">
    <w:pPr>
      <w:pStyle w:val="Kopfzeile"/>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berschrift1"/>
      <w:suff w:val="nothing"/>
      <w:lvlText w:val=""/>
      <w:lvlJc w:val="left"/>
    </w:lvl>
    <w:lvl w:ilvl="1">
      <w:start w:val="1"/>
      <w:numFmt w:val="decimal"/>
      <w:pStyle w:val="berschrift2"/>
      <w:lvlText w:val="%2"/>
      <w:legacy w:legacy="1" w:legacySpace="144" w:legacyIndent="0"/>
      <w:lvlJc w:val="left"/>
    </w:lvl>
    <w:lvl w:ilvl="2">
      <w:start w:val="1"/>
      <w:numFmt w:val="decimal"/>
      <w:pStyle w:val="berschrift3"/>
      <w:lvlText w:val="%2.%3"/>
      <w:legacy w:legacy="1" w:legacySpace="144" w:legacyIndent="0"/>
      <w:lvlJc w:val="left"/>
    </w:lvl>
    <w:lvl w:ilvl="3">
      <w:start w:val="1"/>
      <w:numFmt w:val="decimal"/>
      <w:pStyle w:val="berschrift4"/>
      <w:lvlText w:val="%2.%3.%4"/>
      <w:legacy w:legacy="1" w:legacySpace="144" w:legacyIndent="0"/>
      <w:lvlJc w:val="left"/>
    </w:lvl>
    <w:lvl w:ilvl="4">
      <w:start w:val="1"/>
      <w:numFmt w:val="decimal"/>
      <w:pStyle w:val="berschrift5"/>
      <w:lvlText w:val="%2.%3.%4.%5"/>
      <w:legacy w:legacy="1" w:legacySpace="144" w:legacyIndent="0"/>
      <w:lvlJc w:val="left"/>
    </w:lvl>
    <w:lvl w:ilvl="5">
      <w:start w:val="1"/>
      <w:numFmt w:val="decimal"/>
      <w:pStyle w:val="berschrift6"/>
      <w:lvlText w:val="%2.%3.%4.%5.%6"/>
      <w:legacy w:legacy="1" w:legacySpace="144" w:legacyIndent="0"/>
      <w:lvlJc w:val="left"/>
    </w:lvl>
    <w:lvl w:ilvl="6">
      <w:start w:val="1"/>
      <w:numFmt w:val="decimal"/>
      <w:pStyle w:val="berschrift7"/>
      <w:lvlText w:val="%2.%3.%4.%5.%6.%7"/>
      <w:legacy w:legacy="1" w:legacySpace="144" w:legacyIndent="0"/>
      <w:lvlJc w:val="left"/>
    </w:lvl>
    <w:lvl w:ilvl="7">
      <w:start w:val="1"/>
      <w:numFmt w:val="decimal"/>
      <w:pStyle w:val="berschrift8"/>
      <w:lvlText w:val="%2.%3.%4.%5.%6.%7.%8"/>
      <w:legacy w:legacy="1" w:legacySpace="144" w:legacyIndent="0"/>
      <w:lvlJc w:val="left"/>
    </w:lvl>
    <w:lvl w:ilvl="8">
      <w:start w:val="1"/>
      <w:numFmt w:val="decimal"/>
      <w:pStyle w:val="berschrift9"/>
      <w:lvlText w:val="%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DBB7329"/>
    <w:multiLevelType w:val="singleLevel"/>
    <w:tmpl w:val="9DB4A8B6"/>
    <w:lvl w:ilvl="0">
      <w:start w:val="1"/>
      <w:numFmt w:val="decimal"/>
      <w:lvlText w:val="%1."/>
      <w:legacy w:legacy="1" w:legacySpace="0" w:legacyIndent="283"/>
      <w:lvlJc w:val="left"/>
      <w:pPr>
        <w:ind w:left="283" w:hanging="283"/>
      </w:pPr>
    </w:lvl>
  </w:abstractNum>
  <w:abstractNum w:abstractNumId="3">
    <w:nsid w:val="147C1AF0"/>
    <w:multiLevelType w:val="hybridMultilevel"/>
    <w:tmpl w:val="47003B66"/>
    <w:lvl w:ilvl="0" w:tplc="9992FE92">
      <w:start w:val="1"/>
      <w:numFmt w:val="decimal"/>
      <w:lvlText w:val="%1."/>
      <w:lvlJc w:val="left"/>
      <w:pPr>
        <w:ind w:left="720" w:hanging="360"/>
      </w:pPr>
    </w:lvl>
    <w:lvl w:ilvl="1" w:tplc="BB58D30A" w:tentative="1">
      <w:start w:val="1"/>
      <w:numFmt w:val="lowerLetter"/>
      <w:lvlText w:val="%2."/>
      <w:lvlJc w:val="left"/>
      <w:pPr>
        <w:ind w:left="1440" w:hanging="360"/>
      </w:pPr>
    </w:lvl>
    <w:lvl w:ilvl="2" w:tplc="A7C0DE9A" w:tentative="1">
      <w:start w:val="1"/>
      <w:numFmt w:val="lowerRoman"/>
      <w:lvlText w:val="%3."/>
      <w:lvlJc w:val="right"/>
      <w:pPr>
        <w:ind w:left="2160" w:hanging="180"/>
      </w:pPr>
    </w:lvl>
    <w:lvl w:ilvl="3" w:tplc="7480F658" w:tentative="1">
      <w:start w:val="1"/>
      <w:numFmt w:val="decimal"/>
      <w:lvlText w:val="%4."/>
      <w:lvlJc w:val="left"/>
      <w:pPr>
        <w:ind w:left="2880" w:hanging="360"/>
      </w:pPr>
    </w:lvl>
    <w:lvl w:ilvl="4" w:tplc="49F228D4" w:tentative="1">
      <w:start w:val="1"/>
      <w:numFmt w:val="lowerLetter"/>
      <w:lvlText w:val="%5."/>
      <w:lvlJc w:val="left"/>
      <w:pPr>
        <w:ind w:left="3600" w:hanging="360"/>
      </w:pPr>
    </w:lvl>
    <w:lvl w:ilvl="5" w:tplc="B45E21A2" w:tentative="1">
      <w:start w:val="1"/>
      <w:numFmt w:val="lowerRoman"/>
      <w:lvlText w:val="%6."/>
      <w:lvlJc w:val="right"/>
      <w:pPr>
        <w:ind w:left="4320" w:hanging="180"/>
      </w:pPr>
    </w:lvl>
    <w:lvl w:ilvl="6" w:tplc="A148F89E" w:tentative="1">
      <w:start w:val="1"/>
      <w:numFmt w:val="decimal"/>
      <w:lvlText w:val="%7."/>
      <w:lvlJc w:val="left"/>
      <w:pPr>
        <w:ind w:left="5040" w:hanging="360"/>
      </w:pPr>
    </w:lvl>
    <w:lvl w:ilvl="7" w:tplc="4C3CE942" w:tentative="1">
      <w:start w:val="1"/>
      <w:numFmt w:val="lowerLetter"/>
      <w:lvlText w:val="%8."/>
      <w:lvlJc w:val="left"/>
      <w:pPr>
        <w:ind w:left="5760" w:hanging="360"/>
      </w:pPr>
    </w:lvl>
    <w:lvl w:ilvl="8" w:tplc="1D9E8B98"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attachedTemplate r:id="rId1"/>
  <w:doNotTrackMove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nr = String.Empty;_x000D__x000A__x0009__x0009_Geschaeft ges = (Geschaeft) obj.Geschaeft;_x000D__x000A__x0009__x0009__x000D__x000A__x0009__x0009_if (ges.Signatur != null)_x000D__x000A__x0009__x0009_{_x000D__x000A__x0009__x0009__x0009_nr = ges.Signatur.ToString();_x000D__x000A__x0009__x0009_}_x000D__x000A__x0009__x0009_else_x000D__x000A__x0009__x0009_{_x000D__x000A__x0009__x0009__x0009_nr = ges.Laufnummer.ToString();_x000D__x000A__x0009__x0009_}_x000D__x000A__x0009__x0009__x0009__x000D__x000A_            return nr;_x000D__x000A_       }_x000D__x000A_   }_x000D__x000A_}"/>
    <w:docVar w:name="MetaTool_Script2_Path" w:val="Dokument"/>
    <w:docVar w:name="MetaTool_Script2_Report" w:val="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_x000D__x000A__x0009__x0009__x0009__x0009__x0009_{_x000D__x000A__x0009__x0009__x0009__x0009__x0009__x0009_titel = unt.Traktadum.Titel;_x000D__x000A__x0009__x0009__x0009__x0009__x0009_}_x000D__x000A__x0009__x0009__x0009__x0009__x0009_else _x000D__x000A__x0009__x0009__x0009__x0009__x0009_{_x000D__x000A__x0009__x0009__x0009__x0009__x0009__x0009_if (obj.Geschaeft !=null &amp;&amp; obj.Geschaeft.Titel !=null)_x000D__x000A__x0009__x0009__x0009__x0009__x0009__x0009_{_x000D__x000A__x0009__x0009__x0009__x0009__x0009__x0009__x0009_titel = obj.Geschaeft.Titel;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Geschaeft.Titel != null)_x000D__x000A__x0009__x0009__x0009__x0009_{_x000D__x000A__x0009__x0009__x0009__x0009__x0009_titel = obj.Geschaeft.Titel;_x000D__x000A__x0009__x0009__x0009__x0009_}_x000D__x000A__x0009__x0009__x0009__x0009__x000D__x000A__x0009__x0009__x0009_}_x0009__x000D__x000A__x0009__x0009__x0009_return titel;_x000D__x000A__x0009__x0009_}_x000D__x000A__x0009_}_x000D__x000A_} "/>
    <w:docVar w:name="MetaTool_TypeDefinition" w:val="Dokument"/>
  </w:docVars>
  <w:rsids>
    <w:rsidRoot w:val="00AE5CD7"/>
    <w:rsid w:val="0074747F"/>
    <w:rsid w:val="00AE5CD7"/>
    <w:rsid w:val="00C40F0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TMS" w:eastAsia="Times New Roman" w:hAnsi="BR-TM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7E8"/>
    <w:pPr>
      <w:jc w:val="both"/>
    </w:pPr>
    <w:rPr>
      <w:rFonts w:ascii="Arial" w:hAnsi="Arial"/>
      <w:sz w:val="22"/>
      <w:lang w:eastAsia="de-DE"/>
    </w:rPr>
  </w:style>
  <w:style w:type="paragraph" w:styleId="berschrift1">
    <w:name w:val="heading 1"/>
    <w:basedOn w:val="Standard"/>
    <w:next w:val="Textkrper"/>
    <w:qFormat/>
    <w:rsid w:val="006C67E8"/>
    <w:pPr>
      <w:keepNext/>
      <w:keepLines/>
      <w:numPr>
        <w:numId w:val="1"/>
      </w:numPr>
      <w:spacing w:before="240" w:after="240"/>
      <w:jc w:val="left"/>
      <w:outlineLvl w:val="0"/>
    </w:pPr>
    <w:rPr>
      <w:b/>
      <w:u w:val="single"/>
    </w:rPr>
  </w:style>
  <w:style w:type="paragraph" w:styleId="berschrift2">
    <w:name w:val="heading 2"/>
    <w:basedOn w:val="berschrift1"/>
    <w:next w:val="Textkrper"/>
    <w:qFormat/>
    <w:rsid w:val="006C67E8"/>
    <w:pPr>
      <w:numPr>
        <w:ilvl w:val="1"/>
      </w:numPr>
      <w:ind w:left="567" w:hanging="567"/>
      <w:outlineLvl w:val="1"/>
    </w:pPr>
    <w:rPr>
      <w:u w:val="none"/>
    </w:rPr>
  </w:style>
  <w:style w:type="paragraph" w:styleId="berschrift3">
    <w:name w:val="heading 3"/>
    <w:basedOn w:val="berschrift2"/>
    <w:next w:val="Textkrper"/>
    <w:qFormat/>
    <w:rsid w:val="006C67E8"/>
    <w:pPr>
      <w:numPr>
        <w:ilvl w:val="2"/>
      </w:numPr>
      <w:spacing w:before="0"/>
      <w:outlineLvl w:val="2"/>
    </w:pPr>
  </w:style>
  <w:style w:type="paragraph" w:styleId="berschrift4">
    <w:name w:val="heading 4"/>
    <w:basedOn w:val="berschrift3"/>
    <w:next w:val="Textkrper"/>
    <w:qFormat/>
    <w:rsid w:val="006C67E8"/>
    <w:pPr>
      <w:numPr>
        <w:ilvl w:val="3"/>
      </w:numPr>
      <w:ind w:left="709" w:hanging="709"/>
      <w:outlineLvl w:val="3"/>
    </w:pPr>
  </w:style>
  <w:style w:type="paragraph" w:styleId="berschrift5">
    <w:name w:val="heading 5"/>
    <w:basedOn w:val="berschrift4"/>
    <w:next w:val="Standard"/>
    <w:qFormat/>
    <w:rsid w:val="006C67E8"/>
    <w:pPr>
      <w:numPr>
        <w:ilvl w:val="4"/>
      </w:numPr>
      <w:outlineLvl w:val="4"/>
    </w:pPr>
  </w:style>
  <w:style w:type="paragraph" w:styleId="berschrift6">
    <w:name w:val="heading 6"/>
    <w:basedOn w:val="Standard"/>
    <w:next w:val="Standard"/>
    <w:qFormat/>
    <w:rsid w:val="006C67E8"/>
    <w:pPr>
      <w:numPr>
        <w:ilvl w:val="5"/>
        <w:numId w:val="1"/>
      </w:numPr>
      <w:spacing w:after="60"/>
      <w:outlineLvl w:val="5"/>
    </w:pPr>
    <w:rPr>
      <w:i/>
    </w:rPr>
  </w:style>
  <w:style w:type="paragraph" w:styleId="berschrift7">
    <w:name w:val="heading 7"/>
    <w:basedOn w:val="Standard"/>
    <w:next w:val="Standard"/>
    <w:qFormat/>
    <w:rsid w:val="006C67E8"/>
    <w:pPr>
      <w:numPr>
        <w:ilvl w:val="6"/>
        <w:numId w:val="1"/>
      </w:numPr>
      <w:spacing w:after="60"/>
      <w:outlineLvl w:val="6"/>
    </w:pPr>
    <w:rPr>
      <w:sz w:val="20"/>
    </w:rPr>
  </w:style>
  <w:style w:type="paragraph" w:styleId="berschrift8">
    <w:name w:val="heading 8"/>
    <w:basedOn w:val="Standard"/>
    <w:next w:val="Standard"/>
    <w:qFormat/>
    <w:rsid w:val="006C67E8"/>
    <w:pPr>
      <w:numPr>
        <w:ilvl w:val="7"/>
        <w:numId w:val="1"/>
      </w:numPr>
      <w:spacing w:after="60"/>
      <w:outlineLvl w:val="7"/>
    </w:pPr>
    <w:rPr>
      <w:i/>
      <w:sz w:val="20"/>
    </w:rPr>
  </w:style>
  <w:style w:type="paragraph" w:styleId="berschrift9">
    <w:name w:val="heading 9"/>
    <w:basedOn w:val="Standard"/>
    <w:next w:val="Standard"/>
    <w:qFormat/>
    <w:rsid w:val="006C67E8"/>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6C67E8"/>
    <w:pPr>
      <w:spacing w:after="240"/>
    </w:pPr>
  </w:style>
  <w:style w:type="paragraph" w:styleId="Standardeinzug">
    <w:name w:val="Normal Indent"/>
    <w:basedOn w:val="Standard"/>
    <w:semiHidden/>
    <w:rsid w:val="006C67E8"/>
    <w:pPr>
      <w:tabs>
        <w:tab w:val="left" w:pos="432"/>
      </w:tabs>
      <w:ind w:left="432" w:hanging="432"/>
    </w:pPr>
  </w:style>
  <w:style w:type="paragraph" w:customStyle="1" w:styleId="NummerundDatum">
    <w:name w:val="Nummer und Datum"/>
    <w:basedOn w:val="Standard"/>
    <w:next w:val="Rubrum"/>
    <w:rsid w:val="006C67E8"/>
    <w:pPr>
      <w:tabs>
        <w:tab w:val="left" w:pos="5103"/>
      </w:tabs>
      <w:spacing w:before="480"/>
      <w:jc w:val="left"/>
    </w:pPr>
  </w:style>
  <w:style w:type="paragraph" w:customStyle="1" w:styleId="Rubrum">
    <w:name w:val="Rubrum"/>
    <w:basedOn w:val="Standard"/>
    <w:next w:val="Textkrper"/>
    <w:rsid w:val="006C67E8"/>
    <w:pPr>
      <w:spacing w:before="720" w:after="240"/>
      <w:jc w:val="left"/>
    </w:pPr>
  </w:style>
  <w:style w:type="paragraph" w:styleId="Kopfzeile">
    <w:name w:val="header"/>
    <w:basedOn w:val="Standard"/>
    <w:semiHidden/>
    <w:rsid w:val="006C67E8"/>
    <w:pPr>
      <w:jc w:val="center"/>
    </w:pPr>
  </w:style>
  <w:style w:type="paragraph" w:customStyle="1" w:styleId="Gliederung">
    <w:name w:val="Gliederung"/>
    <w:basedOn w:val="Standard"/>
    <w:next w:val="Textkrper"/>
    <w:rsid w:val="006C67E8"/>
    <w:pPr>
      <w:keepNext/>
      <w:keepLines/>
      <w:spacing w:before="240" w:after="240"/>
      <w:jc w:val="left"/>
    </w:pPr>
    <w:rPr>
      <w:b/>
      <w:u w:val="single"/>
    </w:rPr>
  </w:style>
  <w:style w:type="paragraph" w:customStyle="1" w:styleId="Nummeriert">
    <w:name w:val="Nummeriert"/>
    <w:basedOn w:val="Textkrper"/>
    <w:rsid w:val="006C67E8"/>
    <w:pPr>
      <w:ind w:left="283" w:hanging="283"/>
    </w:pPr>
  </w:style>
  <w:style w:type="paragraph" w:customStyle="1" w:styleId="Spiegelstrich">
    <w:name w:val="Spiegelstrich"/>
    <w:basedOn w:val="Textkrper"/>
    <w:rsid w:val="006C67E8"/>
    <w:pPr>
      <w:spacing w:after="0"/>
      <w:ind w:left="284" w:hanging="284"/>
    </w:pPr>
  </w:style>
  <w:style w:type="paragraph" w:styleId="Textkrper-Zeileneinzug">
    <w:name w:val="Body Text Indent"/>
    <w:basedOn w:val="Textkrper"/>
    <w:semiHidden/>
    <w:rsid w:val="006C67E8"/>
    <w:pPr>
      <w:ind w:left="284"/>
    </w:pPr>
  </w:style>
  <w:style w:type="paragraph" w:styleId="Beschriftung">
    <w:name w:val="caption"/>
    <w:basedOn w:val="Standard"/>
    <w:next w:val="Standard"/>
    <w:qFormat/>
    <w:rsid w:val="006C67E8"/>
    <w:pPr>
      <w:spacing w:before="120" w:after="120"/>
    </w:pPr>
    <w:rPr>
      <w:b/>
    </w:rPr>
  </w:style>
  <w:style w:type="paragraph" w:styleId="Fuzeile">
    <w:name w:val="footer"/>
    <w:basedOn w:val="Standard"/>
    <w:semiHidden/>
    <w:rsid w:val="006C67E8"/>
    <w:pPr>
      <w:tabs>
        <w:tab w:val="center" w:pos="4536"/>
        <w:tab w:val="right" w:pos="9072"/>
      </w:tabs>
    </w:pPr>
  </w:style>
  <w:style w:type="character" w:styleId="Seitenzahl">
    <w:name w:val="page number"/>
    <w:basedOn w:val="Absatz-Standardschriftart"/>
    <w:semiHidden/>
    <w:rsid w:val="006C67E8"/>
  </w:style>
  <w:style w:type="paragraph" w:customStyle="1" w:styleId="Verteiler">
    <w:name w:val="Verteiler"/>
    <w:basedOn w:val="Spiegelstrich"/>
    <w:rsid w:val="006C67E8"/>
    <w:pPr>
      <w:jc w:val="left"/>
    </w:pPr>
  </w:style>
  <w:style w:type="paragraph" w:styleId="Unterschrift">
    <w:name w:val="Signature"/>
    <w:basedOn w:val="Standard"/>
    <w:next w:val="Standard"/>
    <w:semiHidden/>
    <w:rsid w:val="006C67E8"/>
    <w:pPr>
      <w:tabs>
        <w:tab w:val="left" w:pos="5103"/>
        <w:tab w:val="left" w:pos="6039"/>
      </w:tabs>
      <w:spacing w:before="240"/>
      <w:jc w:val="left"/>
    </w:pPr>
  </w:style>
  <w:style w:type="paragraph" w:customStyle="1" w:styleId="Verteilertitel">
    <w:name w:val="Verteilertitel"/>
    <w:basedOn w:val="Standard"/>
    <w:next w:val="Verteiler"/>
    <w:rsid w:val="006C67E8"/>
    <w:pPr>
      <w:spacing w:before="240" w:after="120"/>
    </w:pPr>
  </w:style>
  <w:style w:type="paragraph" w:customStyle="1" w:styleId="KantonDirketionAmt">
    <w:name w:val="KantonDirketionAmt"/>
    <w:basedOn w:val="Standard"/>
    <w:rsid w:val="006C67E8"/>
    <w:pPr>
      <w:framePr w:wrap="around" w:vAnchor="page" w:hAnchor="text" w:y="455"/>
      <w:spacing w:line="210" w:lineRule="exact"/>
      <w:jc w:val="center"/>
    </w:pPr>
    <w:rPr>
      <w:rFonts w:ascii="Gill Sans" w:hAnsi="Gill Sans"/>
      <w:caps/>
      <w:sz w:val="21"/>
    </w:rPr>
  </w:style>
  <w:style w:type="paragraph" w:customStyle="1" w:styleId="Zwischentitel">
    <w:name w:val="Zwischentitel"/>
    <w:basedOn w:val="berschrift4"/>
    <w:next w:val="Textkrper"/>
    <w:rsid w:val="006C67E8"/>
    <w:pPr>
      <w:outlineLvl w:val="9"/>
    </w:pPr>
  </w:style>
  <w:style w:type="paragraph" w:customStyle="1" w:styleId="Empfnger">
    <w:name w:val="Empfänger"/>
    <w:basedOn w:val="Standard"/>
    <w:autoRedefine/>
    <w:rsid w:val="00FB626C"/>
    <w:pPr>
      <w:spacing w:before="60"/>
      <w:ind w:right="-100"/>
      <w:jc w:val="left"/>
    </w:pPr>
    <w:rPr>
      <w:rFonts w:ascii="Gill Sans" w:hAnsi="Gill Sans"/>
      <w:caps/>
      <w:noProof/>
      <w:sz w:val="14"/>
      <w:lang w:eastAsia="de-CH"/>
    </w:rPr>
  </w:style>
  <w:style w:type="paragraph" w:customStyle="1" w:styleId="EmpfngerAbsender">
    <w:name w:val="Empfänger Absender"/>
    <w:basedOn w:val="Empfnger"/>
    <w:qFormat/>
    <w:rsid w:val="00FB626C"/>
  </w:style>
  <w:style w:type="paragraph" w:styleId="Sprechblasentext">
    <w:name w:val="Balloon Text"/>
    <w:basedOn w:val="Standard"/>
    <w:link w:val="SprechblasentextZchn"/>
    <w:uiPriority w:val="99"/>
    <w:semiHidden/>
    <w:unhideWhenUsed/>
    <w:rsid w:val="00D453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537B"/>
    <w:rPr>
      <w:rFonts w:ascii="Tahoma" w:hAnsi="Tahoma" w:cs="Tahoma"/>
      <w:sz w:val="16"/>
      <w:szCs w:val="16"/>
      <w:lang w:eastAsia="de-DE"/>
    </w:rPr>
  </w:style>
  <w:style w:type="table" w:styleId="Tabellengitternetz">
    <w:name w:val="Table Grid"/>
    <w:basedOn w:val="NormaleTabelle"/>
    <w:uiPriority w:val="59"/>
    <w:rsid w:val="006837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Kanton_Neu\RRB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96159-8D2E-4382-84D1-B50D08E0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RRB_Neu.dotx</Template>
  <TotalTime>0</TotalTime>
  <Pages>5</Pages>
  <Words>1597</Words>
  <Characters>10064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Vorlage RRB</vt:lpstr>
    </vt:vector>
  </TitlesOfParts>
  <Company>Kanton Nidwalden</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RRB</dc:title>
  <dc:subject>Kantonale Vorlagen</dc:subject>
  <dc:creator>Ursula Blättler</dc:creator>
  <cp:keywords>Version 2.0 für Office 97</cp:keywords>
  <dc:description>Titel</dc:description>
  <cp:lastModifiedBy>BDNW31</cp:lastModifiedBy>
  <cp:revision>2</cp:revision>
  <cp:lastPrinted>2013-02-13T07:20:00Z</cp:lastPrinted>
  <dcterms:created xsi:type="dcterms:W3CDTF">2014-04-11T08:16:00Z</dcterms:created>
  <dcterms:modified xsi:type="dcterms:W3CDTF">2014-04-11T08:16:00Z</dcterms:modified>
  <cp:category>Word 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absender">
    <vt:lpwstr/>
  </property>
  <property fmtid="{D5CDD505-2E9C-101B-9397-08002B2CF9AE}" pid="3" name="absabteilung">
    <vt:lpwstr/>
  </property>
  <property fmtid="{D5CDD505-2E9C-101B-9397-08002B2CF9AE}" pid="4" name="absadresse">
    <vt:lpwstr/>
  </property>
  <property fmtid="{D5CDD505-2E9C-101B-9397-08002B2CF9AE}" pid="5" name="absamt">
    <vt:lpwstr/>
  </property>
  <property fmtid="{D5CDD505-2E9C-101B-9397-08002B2CF9AE}" pid="6" name="absbeilagen">
    <vt:lpwstr/>
  </property>
  <property fmtid="{D5CDD505-2E9C-101B-9397-08002B2CF9AE}" pid="7" name="absdirektion">
    <vt:lpwstr/>
  </property>
  <property fmtid="{D5CDD505-2E9C-101B-9397-08002B2CF9AE}" pid="8" name="absfax">
    <vt:lpwstr/>
  </property>
  <property fmtid="{D5CDD505-2E9C-101B-9397-08002B2CF9AE}" pid="9" name="absfunktion">
    <vt:lpwstr/>
  </property>
  <property fmtid="{D5CDD505-2E9C-101B-9397-08002B2CF9AE}" pid="10" name="absgruss">
    <vt:lpwstr/>
  </property>
  <property fmtid="{D5CDD505-2E9C-101B-9397-08002B2CF9AE}" pid="11" name="absinternet">
    <vt:lpwstr/>
  </property>
  <property fmtid="{D5CDD505-2E9C-101B-9397-08002B2CF9AE}" pid="12" name="absmailamt">
    <vt:lpwstr/>
  </property>
  <property fmtid="{D5CDD505-2E9C-101B-9397-08002B2CF9AE}" pid="13" name="absnamen">
    <vt:lpwstr/>
  </property>
  <property fmtid="{D5CDD505-2E9C-101B-9397-08002B2CF9AE}" pid="14" name="absort">
    <vt:lpwstr/>
  </property>
  <property fmtid="{D5CDD505-2E9C-101B-9397-08002B2CF9AE}" pid="15" name="abspckonto">
    <vt:lpwstr/>
  </property>
  <property fmtid="{D5CDD505-2E9C-101B-9397-08002B2CF9AE}" pid="16" name="abspckonto1">
    <vt:lpwstr/>
  </property>
  <property fmtid="{D5CDD505-2E9C-101B-9397-08002B2CF9AE}" pid="17" name="absstrasse">
    <vt:lpwstr/>
  </property>
  <property fmtid="{D5CDD505-2E9C-101B-9397-08002B2CF9AE}" pid="18" name="abstelefonamt">
    <vt:lpwstr/>
  </property>
  <property fmtid="{D5CDD505-2E9C-101B-9397-08002B2CF9AE}" pid="19" name="Anz_beilage">
    <vt:lpwstr/>
  </property>
  <property fmtid="{D5CDD505-2E9C-101B-9397-08002B2CF9AE}" pid="20" name="betreff">
    <vt:lpwstr/>
  </property>
  <property fmtid="{D5CDD505-2E9C-101B-9397-08002B2CF9AE}" pid="21" name="betreff1">
    <vt:lpwstr/>
  </property>
  <property fmtid="{D5CDD505-2E9C-101B-9397-08002B2CF9AE}" pid="22" name="datumvisum">
    <vt:lpwstr/>
  </property>
  <property fmtid="{D5CDD505-2E9C-101B-9397-08002B2CF9AE}" pid="23" name="empadresse">
    <vt:lpwstr/>
  </property>
  <property fmtid="{D5CDD505-2E9C-101B-9397-08002B2CF9AE}" pid="24" name="empanredeformel">
    <vt:lpwstr/>
  </property>
  <property fmtid="{D5CDD505-2E9C-101B-9397-08002B2CF9AE}" pid="25" name="EmpFaxNr">
    <vt:lpwstr/>
  </property>
  <property fmtid="{D5CDD505-2E9C-101B-9397-08002B2CF9AE}" pid="26" name="feld1">
    <vt:lpwstr/>
  </property>
  <property fmtid="{D5CDD505-2E9C-101B-9397-08002B2CF9AE}" pid="27" name="feld2">
    <vt:lpwstr/>
  </property>
  <property fmtid="{D5CDD505-2E9C-101B-9397-08002B2CF9AE}" pid="28" name="feld3">
    <vt:lpwstr/>
  </property>
  <property fmtid="{D5CDD505-2E9C-101B-9397-08002B2CF9AE}" pid="29" name="feld4">
    <vt:lpwstr/>
  </property>
  <property fmtid="{D5CDD505-2E9C-101B-9397-08002B2CF9AE}" pid="30" name="feld5">
    <vt:lpwstr/>
  </property>
  <property fmtid="{D5CDD505-2E9C-101B-9397-08002B2CF9AE}" pid="31" name="feld6">
    <vt:lpwstr/>
  </property>
  <property fmtid="{D5CDD505-2E9C-101B-9397-08002B2CF9AE}" pid="32" name="grussamt">
    <vt:lpwstr/>
  </property>
  <property fmtid="{D5CDD505-2E9C-101B-9397-08002B2CF9AE}" pid="33" name="Titel">
    <vt:lpwstr/>
  </property>
  <property fmtid="{D5CDD505-2E9C-101B-9397-08002B2CF9AE}" pid="34" name="versand">
    <vt:lpwstr/>
  </property>
</Properties>
</file>