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E41" w:rsidRDefault="006B2983" w:rsidP="00EE581F">
      <w:pPr>
        <w:pStyle w:val="Fuzeile"/>
        <w:tabs>
          <w:tab w:val="clear" w:pos="4536"/>
          <w:tab w:val="clear" w:pos="9072"/>
          <w:tab w:val="left" w:pos="5879"/>
        </w:tabs>
        <w:spacing w:before="480"/>
      </w:pPr>
      <w:r>
        <w:t>Nr.</w:t>
      </w:r>
      <w:r>
        <w:t xml:space="preserve"> 804</w:t>
      </w:r>
      <w:r>
        <w:tab/>
        <w:t xml:space="preserve">Stans, </w:t>
      </w:r>
      <w:r>
        <w:t xml:space="preserve">6. November 2012 </w:t>
      </w:r>
    </w:p>
    <w:p w:rsidR="003E2E41" w:rsidRDefault="006B2983">
      <w:pPr>
        <w:pStyle w:val="Rubrum"/>
      </w:pPr>
      <w:r>
        <w:t xml:space="preserve">Baudirektion. Öffentlicher Verkehr. </w:t>
      </w:r>
      <w:r>
        <w:t xml:space="preserve">Fachstelle öffentlicher Verkehr und Projektentwicklung. Ausbauten der Zentralbahn in den Kantonen Luzern, Obwalden und Nidwalden. Anpassung des Kostenteilers Doppelspur Hergiswil </w:t>
      </w:r>
      <w:r>
        <w:t>Schlüssel-Matt. Kenntnisnahme</w:t>
      </w:r>
    </w:p>
    <w:p w:rsidR="003E2E41" w:rsidRDefault="006B2983">
      <w:pPr>
        <w:pStyle w:val="berschrift1"/>
      </w:pPr>
      <w:r>
        <w:t>Sachverhalt</w:t>
      </w:r>
    </w:p>
    <w:p w:rsidR="00F35D35" w:rsidRDefault="006B2983">
      <w:pPr>
        <w:pStyle w:val="Textkrper"/>
      </w:pPr>
      <w:r>
        <w:t>1.</w:t>
      </w:r>
      <w:r>
        <w:br/>
        <w:t>Nidwalden ist am Gesamtprojekt für den Ausbau der Zentralbahn (</w:t>
      </w:r>
      <w:r>
        <w:t>zb) in den Kantonen L</w:t>
      </w:r>
      <w:r>
        <w:t>u</w:t>
      </w:r>
      <w:r>
        <w:t xml:space="preserve">zern, Obwalden und Nidwalden beteiligt. Das Projekt umfasst </w:t>
      </w:r>
      <w:r>
        <w:t xml:space="preserve">folgende </w:t>
      </w:r>
      <w:r>
        <w:t xml:space="preserve">fünf Teilprojekte. </w:t>
      </w:r>
    </w:p>
    <w:p w:rsidR="00F35D35" w:rsidRPr="00B471CA" w:rsidRDefault="006B2983">
      <w:pPr>
        <w:pStyle w:val="Textkrper"/>
        <w:rPr>
          <w:sz w:val="20"/>
        </w:rPr>
      </w:pPr>
      <w:r w:rsidRPr="00F35D35">
        <w:rPr>
          <w:sz w:val="20"/>
          <w:u w:val="single"/>
        </w:rPr>
        <w:t>Teilprojekt</w:t>
      </w:r>
      <w:r>
        <w:rPr>
          <w:sz w:val="20"/>
        </w:rPr>
        <w:tab/>
      </w:r>
      <w:r w:rsidRPr="00F35D35">
        <w:rPr>
          <w:sz w:val="20"/>
        </w:rPr>
        <w:tab/>
      </w:r>
      <w:r w:rsidRPr="00F35D35">
        <w:rPr>
          <w:sz w:val="20"/>
          <w:u w:val="single"/>
        </w:rPr>
        <w:t>Finanzierungspartner</w:t>
      </w:r>
      <w:r w:rsidRPr="00F35D35">
        <w:rPr>
          <w:sz w:val="20"/>
        </w:rPr>
        <w:tab/>
      </w:r>
      <w:r>
        <w:rPr>
          <w:sz w:val="20"/>
        </w:rPr>
        <w:t xml:space="preserve">   </w:t>
      </w:r>
      <w:r>
        <w:rPr>
          <w:sz w:val="20"/>
        </w:rPr>
        <w:t xml:space="preserve"> </w:t>
      </w:r>
      <w:r w:rsidRPr="00F35D35">
        <w:rPr>
          <w:sz w:val="20"/>
          <w:u w:val="single"/>
        </w:rPr>
        <w:t>Kosten</w:t>
      </w:r>
      <w:r>
        <w:rPr>
          <w:sz w:val="20"/>
        </w:rPr>
        <w:tab/>
      </w:r>
      <w:r w:rsidRPr="00F35D35">
        <w:rPr>
          <w:sz w:val="20"/>
          <w:u w:val="single"/>
        </w:rPr>
        <w:t>Nutzen</w:t>
      </w:r>
      <w:r>
        <w:rPr>
          <w:sz w:val="20"/>
        </w:rPr>
        <w:t xml:space="preserve"> </w:t>
      </w:r>
      <w:r>
        <w:rPr>
          <w:sz w:val="20"/>
        </w:rPr>
        <w:tab/>
      </w:r>
      <w:r>
        <w:rPr>
          <w:sz w:val="20"/>
        </w:rPr>
        <w:tab/>
      </w:r>
      <w:r>
        <w:rPr>
          <w:sz w:val="20"/>
        </w:rPr>
        <w:tab/>
      </w:r>
      <w:r w:rsidRPr="00B471CA">
        <w:rPr>
          <w:sz w:val="20"/>
          <w:u w:val="single"/>
        </w:rPr>
        <w:t>Anteil NW</w:t>
      </w:r>
    </w:p>
    <w:p w:rsidR="00F35D35" w:rsidRDefault="006B2983" w:rsidP="006C5F67">
      <w:pPr>
        <w:pStyle w:val="Textkrper"/>
        <w:spacing w:after="0"/>
        <w:rPr>
          <w:sz w:val="20"/>
        </w:rPr>
      </w:pPr>
      <w:r w:rsidRPr="00F35D35">
        <w:rPr>
          <w:sz w:val="20"/>
        </w:rPr>
        <w:t>1.Tieflegung der zb</w:t>
      </w:r>
      <w:r w:rsidRPr="00F35D35">
        <w:rPr>
          <w:sz w:val="20"/>
        </w:rPr>
        <w:tab/>
        <w:t>Kanton + Stadt Luzern</w:t>
      </w:r>
      <w:r w:rsidRPr="00F35D35">
        <w:rPr>
          <w:sz w:val="20"/>
        </w:rPr>
        <w:tab/>
      </w:r>
      <w:r>
        <w:rPr>
          <w:sz w:val="20"/>
        </w:rPr>
        <w:t xml:space="preserve">    111,9 Mio.</w:t>
      </w:r>
      <w:r w:rsidRPr="00F35D35">
        <w:rPr>
          <w:sz w:val="20"/>
        </w:rPr>
        <w:tab/>
        <w:t>Verkehrstrennung</w:t>
      </w:r>
      <w:r>
        <w:rPr>
          <w:sz w:val="20"/>
        </w:rPr>
        <w:tab/>
        <w:t>0</w:t>
      </w:r>
    </w:p>
    <w:p w:rsidR="006C5F67" w:rsidRDefault="006B2983">
      <w:pPr>
        <w:pStyle w:val="Textkrper"/>
        <w:rPr>
          <w:sz w:val="20"/>
        </w:rPr>
      </w:pPr>
      <w:r>
        <w:rPr>
          <w:sz w:val="20"/>
        </w:rPr>
        <w:t xml:space="preserve">   </w:t>
      </w:r>
      <w:r w:rsidRPr="00F35D35">
        <w:rPr>
          <w:sz w:val="20"/>
        </w:rPr>
        <w:t>(Tunnel)</w:t>
      </w:r>
      <w:r>
        <w:rPr>
          <w:sz w:val="20"/>
        </w:rPr>
        <w:tab/>
      </w:r>
      <w:r>
        <w:rPr>
          <w:sz w:val="20"/>
        </w:rPr>
        <w:tab/>
      </w:r>
      <w:r>
        <w:rPr>
          <w:sz w:val="20"/>
        </w:rPr>
        <w:tab/>
      </w:r>
      <w:r>
        <w:rPr>
          <w:sz w:val="20"/>
        </w:rPr>
        <w:tab/>
      </w:r>
      <w:r>
        <w:rPr>
          <w:sz w:val="20"/>
        </w:rPr>
        <w:tab/>
      </w:r>
      <w:r>
        <w:rPr>
          <w:sz w:val="20"/>
        </w:rPr>
        <w:tab/>
        <w:t xml:space="preserve"> </w:t>
      </w:r>
      <w:r>
        <w:rPr>
          <w:sz w:val="20"/>
        </w:rPr>
        <w:tab/>
        <w:t>+ Lärmschutz</w:t>
      </w:r>
    </w:p>
    <w:p w:rsidR="00F35D35" w:rsidRPr="00F35D35" w:rsidRDefault="006B2983" w:rsidP="00F35D35">
      <w:pPr>
        <w:pStyle w:val="Textkrper"/>
        <w:spacing w:after="0"/>
        <w:rPr>
          <w:sz w:val="20"/>
          <w:u w:val="single"/>
        </w:rPr>
      </w:pPr>
      <w:r>
        <w:rPr>
          <w:sz w:val="20"/>
        </w:rPr>
        <w:t>2.Doppels</w:t>
      </w:r>
      <w:r>
        <w:rPr>
          <w:sz w:val="20"/>
        </w:rPr>
        <w:t>p</w:t>
      </w:r>
      <w:r>
        <w:rPr>
          <w:sz w:val="20"/>
        </w:rPr>
        <w:t>urausbau</w:t>
      </w:r>
      <w:r>
        <w:rPr>
          <w:sz w:val="20"/>
        </w:rPr>
        <w:tab/>
        <w:t>Kantone Luzern, Nid</w:t>
      </w:r>
      <w:r>
        <w:rPr>
          <w:sz w:val="20"/>
        </w:rPr>
        <w:t>-</w:t>
      </w:r>
      <w:r>
        <w:rPr>
          <w:sz w:val="20"/>
        </w:rPr>
        <w:tab/>
      </w:r>
      <w:r>
        <w:rPr>
          <w:sz w:val="20"/>
        </w:rPr>
        <w:t xml:space="preserve">   </w:t>
      </w:r>
      <w:r>
        <w:rPr>
          <w:sz w:val="20"/>
        </w:rPr>
        <w:t xml:space="preserve"> </w:t>
      </w:r>
      <w:r w:rsidRPr="00A14145">
        <w:rPr>
          <w:sz w:val="20"/>
        </w:rPr>
        <w:t>91,5 Mio.</w:t>
      </w:r>
      <w:r>
        <w:rPr>
          <w:sz w:val="20"/>
        </w:rPr>
        <w:tab/>
      </w:r>
      <w:r>
        <w:rPr>
          <w:sz w:val="20"/>
        </w:rPr>
        <w:t>Leistungssteigerung</w:t>
      </w:r>
      <w:r>
        <w:rPr>
          <w:sz w:val="20"/>
        </w:rPr>
        <w:tab/>
        <w:t>18,3</w:t>
      </w:r>
      <w:r>
        <w:rPr>
          <w:sz w:val="20"/>
        </w:rPr>
        <w:t>3</w:t>
      </w:r>
      <w:r>
        <w:rPr>
          <w:sz w:val="20"/>
        </w:rPr>
        <w:t xml:space="preserve"> Mio. </w:t>
      </w:r>
    </w:p>
    <w:p w:rsidR="00F35D35" w:rsidRPr="00390917" w:rsidRDefault="006B2983">
      <w:pPr>
        <w:pStyle w:val="Textkrper"/>
        <w:rPr>
          <w:sz w:val="20"/>
        </w:rPr>
      </w:pPr>
      <w:r>
        <w:rPr>
          <w:sz w:val="20"/>
        </w:rPr>
        <w:t xml:space="preserve">   in Luzern</w:t>
      </w:r>
      <w:r>
        <w:tab/>
      </w:r>
      <w:r>
        <w:tab/>
      </w:r>
      <w:r>
        <w:rPr>
          <w:sz w:val="20"/>
        </w:rPr>
        <w:t>walden</w:t>
      </w:r>
      <w:r w:rsidRPr="00390917">
        <w:rPr>
          <w:sz w:val="20"/>
        </w:rPr>
        <w:t xml:space="preserve"> </w:t>
      </w:r>
      <w:r w:rsidRPr="00390917">
        <w:rPr>
          <w:sz w:val="20"/>
        </w:rPr>
        <w:t>und Obwalden</w:t>
      </w:r>
      <w:r w:rsidRPr="00390917">
        <w:rPr>
          <w:sz w:val="20"/>
        </w:rPr>
        <w:tab/>
      </w:r>
      <w:r>
        <w:rPr>
          <w:sz w:val="20"/>
        </w:rPr>
        <w:t xml:space="preserve">    </w:t>
      </w:r>
      <w:r w:rsidRPr="00390917">
        <w:rPr>
          <w:sz w:val="20"/>
        </w:rPr>
        <w:t>.</w:t>
      </w:r>
      <w:r w:rsidRPr="00390917">
        <w:rPr>
          <w:sz w:val="20"/>
        </w:rPr>
        <w:tab/>
      </w:r>
    </w:p>
    <w:p w:rsidR="000C110A" w:rsidRPr="000C110A" w:rsidRDefault="006B2983">
      <w:pPr>
        <w:pStyle w:val="Textkrper"/>
        <w:rPr>
          <w:sz w:val="20"/>
        </w:rPr>
      </w:pPr>
      <w:r w:rsidRPr="000C110A">
        <w:rPr>
          <w:sz w:val="20"/>
        </w:rPr>
        <w:t>3.Haltestelle Allmend</w:t>
      </w:r>
      <w:r w:rsidRPr="000C110A">
        <w:rPr>
          <w:sz w:val="20"/>
        </w:rPr>
        <w:tab/>
        <w:t>Kanton + Stadt Luzern</w:t>
      </w:r>
      <w:r w:rsidRPr="000C110A">
        <w:rPr>
          <w:sz w:val="20"/>
        </w:rPr>
        <w:tab/>
      </w:r>
      <w:r>
        <w:rPr>
          <w:sz w:val="20"/>
        </w:rPr>
        <w:t xml:space="preserve">    </w:t>
      </w:r>
      <w:r w:rsidRPr="000C110A">
        <w:rPr>
          <w:sz w:val="20"/>
        </w:rPr>
        <w:t>27,6 Mio.</w:t>
      </w:r>
      <w:r w:rsidRPr="000C110A">
        <w:rPr>
          <w:sz w:val="20"/>
        </w:rPr>
        <w:tab/>
        <w:t>Erschliessung</w:t>
      </w:r>
      <w:r>
        <w:rPr>
          <w:sz w:val="20"/>
        </w:rPr>
        <w:tab/>
      </w:r>
      <w:r>
        <w:rPr>
          <w:sz w:val="20"/>
        </w:rPr>
        <w:tab/>
        <w:t>0</w:t>
      </w:r>
    </w:p>
    <w:p w:rsidR="000C110A" w:rsidRDefault="006B2983" w:rsidP="000C110A">
      <w:pPr>
        <w:pStyle w:val="Textkrper"/>
        <w:spacing w:after="0"/>
        <w:rPr>
          <w:sz w:val="20"/>
        </w:rPr>
      </w:pPr>
      <w:r w:rsidRPr="000C110A">
        <w:rPr>
          <w:sz w:val="20"/>
        </w:rPr>
        <w:t>4.Doppelspurausbau</w:t>
      </w:r>
      <w:r w:rsidRPr="000C110A">
        <w:rPr>
          <w:sz w:val="20"/>
        </w:rPr>
        <w:tab/>
        <w:t>Kantone Luzern, Nid</w:t>
      </w:r>
      <w:r>
        <w:rPr>
          <w:sz w:val="20"/>
        </w:rPr>
        <w:t>-</w:t>
      </w:r>
      <w:r>
        <w:rPr>
          <w:sz w:val="20"/>
        </w:rPr>
        <w:tab/>
      </w:r>
      <w:r>
        <w:rPr>
          <w:sz w:val="20"/>
        </w:rPr>
        <w:t xml:space="preserve">    </w:t>
      </w:r>
      <w:r>
        <w:rPr>
          <w:sz w:val="20"/>
        </w:rPr>
        <w:t>15 Mio.</w:t>
      </w:r>
      <w:r>
        <w:rPr>
          <w:sz w:val="20"/>
        </w:rPr>
        <w:tab/>
        <w:t>Leistungssteigerung</w:t>
      </w:r>
      <w:r>
        <w:rPr>
          <w:sz w:val="20"/>
        </w:rPr>
        <w:tab/>
      </w:r>
      <w:r>
        <w:rPr>
          <w:sz w:val="20"/>
        </w:rPr>
        <w:t>2,9</w:t>
      </w:r>
      <w:r>
        <w:rPr>
          <w:sz w:val="20"/>
        </w:rPr>
        <w:t xml:space="preserve"> Mio.</w:t>
      </w:r>
    </w:p>
    <w:p w:rsidR="000C110A" w:rsidRDefault="006B2983">
      <w:pPr>
        <w:pStyle w:val="Textkrper"/>
        <w:rPr>
          <w:sz w:val="20"/>
        </w:rPr>
      </w:pPr>
      <w:r>
        <w:rPr>
          <w:sz w:val="20"/>
        </w:rPr>
        <w:t xml:space="preserve">   </w:t>
      </w:r>
      <w:r w:rsidRPr="000C110A">
        <w:rPr>
          <w:sz w:val="20"/>
        </w:rPr>
        <w:t>in</w:t>
      </w:r>
      <w:r>
        <w:rPr>
          <w:sz w:val="20"/>
        </w:rPr>
        <w:t xml:space="preserve"> </w:t>
      </w:r>
      <w:r>
        <w:rPr>
          <w:sz w:val="20"/>
        </w:rPr>
        <w:t>Hergiswil</w:t>
      </w:r>
      <w:r>
        <w:rPr>
          <w:sz w:val="20"/>
        </w:rPr>
        <w:tab/>
      </w:r>
      <w:r>
        <w:rPr>
          <w:sz w:val="20"/>
        </w:rPr>
        <w:tab/>
      </w:r>
      <w:r w:rsidRPr="000C110A">
        <w:rPr>
          <w:sz w:val="20"/>
        </w:rPr>
        <w:t>walden</w:t>
      </w:r>
      <w:r>
        <w:rPr>
          <w:sz w:val="20"/>
        </w:rPr>
        <w:tab/>
        <w:t>und Obwalden</w:t>
      </w:r>
    </w:p>
    <w:p w:rsidR="000C110A" w:rsidRDefault="006B2983" w:rsidP="000C110A">
      <w:pPr>
        <w:pStyle w:val="Textkrper"/>
        <w:spacing w:after="0"/>
        <w:rPr>
          <w:sz w:val="20"/>
        </w:rPr>
      </w:pPr>
      <w:r>
        <w:rPr>
          <w:sz w:val="20"/>
        </w:rPr>
        <w:t>5.Bescheunigungs</w:t>
      </w:r>
      <w:r>
        <w:rPr>
          <w:sz w:val="20"/>
        </w:rPr>
        <w:t>-</w:t>
      </w:r>
      <w:r>
        <w:rPr>
          <w:sz w:val="20"/>
        </w:rPr>
        <w:tab/>
        <w:t>Kantone Luzern, Nid</w:t>
      </w:r>
      <w:r>
        <w:rPr>
          <w:sz w:val="20"/>
        </w:rPr>
        <w:t>-</w:t>
      </w:r>
      <w:r>
        <w:rPr>
          <w:sz w:val="20"/>
        </w:rPr>
        <w:tab/>
      </w:r>
      <w:r>
        <w:rPr>
          <w:sz w:val="20"/>
        </w:rPr>
        <w:t xml:space="preserve">    </w:t>
      </w:r>
      <w:r w:rsidRPr="000C110A">
        <w:rPr>
          <w:sz w:val="20"/>
          <w:u w:val="single"/>
        </w:rPr>
        <w:t>4</w:t>
      </w:r>
      <w:r>
        <w:rPr>
          <w:sz w:val="20"/>
          <w:u w:val="single"/>
        </w:rPr>
        <w:t xml:space="preserve"> Mio        </w:t>
      </w:r>
      <w:r>
        <w:rPr>
          <w:sz w:val="20"/>
        </w:rPr>
        <w:t xml:space="preserve">  </w:t>
      </w:r>
      <w:r>
        <w:rPr>
          <w:sz w:val="20"/>
        </w:rPr>
        <w:tab/>
      </w:r>
      <w:r w:rsidRPr="007F3656">
        <w:rPr>
          <w:sz w:val="20"/>
        </w:rPr>
        <w:t>L</w:t>
      </w:r>
      <w:r>
        <w:rPr>
          <w:sz w:val="20"/>
        </w:rPr>
        <w:t xml:space="preserve">eistungssteigerung </w:t>
      </w:r>
      <w:r>
        <w:rPr>
          <w:sz w:val="20"/>
        </w:rPr>
        <w:tab/>
      </w:r>
      <w:r w:rsidRPr="00CA3572">
        <w:rPr>
          <w:sz w:val="20"/>
          <w:u w:val="single"/>
        </w:rPr>
        <w:t>1,5</w:t>
      </w:r>
      <w:r>
        <w:rPr>
          <w:sz w:val="20"/>
          <w:u w:val="single"/>
        </w:rPr>
        <w:t>3</w:t>
      </w:r>
      <w:r w:rsidRPr="00CA3572">
        <w:rPr>
          <w:sz w:val="20"/>
          <w:u w:val="single"/>
        </w:rPr>
        <w:t xml:space="preserve"> Mio.</w:t>
      </w:r>
      <w:r>
        <w:rPr>
          <w:sz w:val="20"/>
        </w:rPr>
        <w:t xml:space="preserve">__ </w:t>
      </w:r>
    </w:p>
    <w:p w:rsidR="000C110A" w:rsidRDefault="006B2983">
      <w:pPr>
        <w:pStyle w:val="Textkrper"/>
        <w:rPr>
          <w:sz w:val="20"/>
        </w:rPr>
      </w:pPr>
      <w:r>
        <w:rPr>
          <w:b/>
          <w:sz w:val="20"/>
        </w:rPr>
        <w:t xml:space="preserve">  </w:t>
      </w:r>
      <w:r>
        <w:rPr>
          <w:b/>
          <w:sz w:val="20"/>
        </w:rPr>
        <w:t xml:space="preserve"> </w:t>
      </w:r>
      <w:r>
        <w:rPr>
          <w:sz w:val="20"/>
        </w:rPr>
        <w:t>mass</w:t>
      </w:r>
      <w:r w:rsidRPr="00390917">
        <w:rPr>
          <w:sz w:val="20"/>
        </w:rPr>
        <w:t>nahmen</w:t>
      </w:r>
      <w:r>
        <w:rPr>
          <w:b/>
          <w:sz w:val="20"/>
        </w:rPr>
        <w:tab/>
      </w:r>
      <w:r>
        <w:rPr>
          <w:b/>
          <w:sz w:val="20"/>
        </w:rPr>
        <w:tab/>
      </w:r>
      <w:r>
        <w:rPr>
          <w:sz w:val="20"/>
        </w:rPr>
        <w:t>walden</w:t>
      </w:r>
      <w:r w:rsidRPr="00B471CA">
        <w:rPr>
          <w:sz w:val="20"/>
        </w:rPr>
        <w:t xml:space="preserve"> </w:t>
      </w:r>
      <w:r>
        <w:rPr>
          <w:sz w:val="20"/>
        </w:rPr>
        <w:t xml:space="preserve">und </w:t>
      </w:r>
      <w:r w:rsidRPr="00B471CA">
        <w:rPr>
          <w:sz w:val="20"/>
        </w:rPr>
        <w:t>O</w:t>
      </w:r>
      <w:r w:rsidRPr="000C110A">
        <w:rPr>
          <w:sz w:val="20"/>
        </w:rPr>
        <w:t>bwalden</w:t>
      </w:r>
      <w:r w:rsidRPr="000C110A">
        <w:rPr>
          <w:b/>
          <w:sz w:val="20"/>
        </w:rPr>
        <w:tab/>
      </w:r>
      <w:r>
        <w:rPr>
          <w:b/>
          <w:sz w:val="20"/>
        </w:rPr>
        <w:t xml:space="preserve">    </w:t>
      </w:r>
      <w:r w:rsidRPr="000C110A">
        <w:rPr>
          <w:sz w:val="20"/>
        </w:rPr>
        <w:t>250 Mio.</w:t>
      </w:r>
      <w:r>
        <w:rPr>
          <w:sz w:val="20"/>
        </w:rPr>
        <w:tab/>
      </w:r>
      <w:r>
        <w:rPr>
          <w:sz w:val="20"/>
        </w:rPr>
        <w:tab/>
      </w:r>
      <w:r>
        <w:rPr>
          <w:sz w:val="20"/>
        </w:rPr>
        <w:tab/>
      </w:r>
      <w:r>
        <w:rPr>
          <w:sz w:val="20"/>
        </w:rPr>
        <w:tab/>
        <w:t>2</w:t>
      </w:r>
      <w:r>
        <w:rPr>
          <w:sz w:val="20"/>
        </w:rPr>
        <w:t>2</w:t>
      </w:r>
      <w:r>
        <w:rPr>
          <w:sz w:val="20"/>
        </w:rPr>
        <w:t>,</w:t>
      </w:r>
      <w:r>
        <w:rPr>
          <w:sz w:val="20"/>
        </w:rPr>
        <w:t>7</w:t>
      </w:r>
      <w:r>
        <w:rPr>
          <w:sz w:val="20"/>
        </w:rPr>
        <w:t>6 Mio.</w:t>
      </w:r>
    </w:p>
    <w:p w:rsidR="00EA6B58" w:rsidRDefault="006B2983" w:rsidP="00EA6B58">
      <w:pPr>
        <w:pStyle w:val="Textkrper"/>
        <w:spacing w:after="0"/>
        <w:rPr>
          <w:sz w:val="20"/>
        </w:rPr>
      </w:pPr>
      <w:r>
        <w:rPr>
          <w:sz w:val="20"/>
        </w:rPr>
        <w:t>Zusatzkosten für die</w:t>
      </w:r>
      <w:r w:rsidRPr="00EA6B58">
        <w:rPr>
          <w:sz w:val="20"/>
        </w:rPr>
        <w:t xml:space="preserve"> </w:t>
      </w:r>
      <w:r>
        <w:rPr>
          <w:sz w:val="20"/>
        </w:rPr>
        <w:tab/>
        <w:t>Nidwalden (Kanton und</w:t>
      </w:r>
      <w:r>
        <w:rPr>
          <w:sz w:val="20"/>
        </w:rPr>
        <w:tab/>
        <w:t xml:space="preserve">    10 Mio.</w:t>
      </w:r>
      <w:r>
        <w:rPr>
          <w:sz w:val="20"/>
        </w:rPr>
        <w:tab/>
      </w:r>
      <w:r>
        <w:rPr>
          <w:sz w:val="20"/>
        </w:rPr>
        <w:tab/>
      </w:r>
      <w:r>
        <w:rPr>
          <w:sz w:val="20"/>
        </w:rPr>
        <w:tab/>
      </w:r>
      <w:r>
        <w:rPr>
          <w:sz w:val="20"/>
        </w:rPr>
        <w:tab/>
      </w:r>
      <w:r w:rsidRPr="00EA6B58">
        <w:rPr>
          <w:sz w:val="20"/>
          <w:u w:val="single"/>
        </w:rPr>
        <w:t>6,7 Mio</w:t>
      </w:r>
      <w:r>
        <w:rPr>
          <w:sz w:val="20"/>
          <w:u w:val="single"/>
        </w:rPr>
        <w:t xml:space="preserve">       .</w:t>
      </w:r>
    </w:p>
    <w:p w:rsidR="00EA6B58" w:rsidRDefault="006B2983" w:rsidP="00EA6B58">
      <w:pPr>
        <w:pStyle w:val="Textkrper"/>
        <w:spacing w:after="0"/>
        <w:rPr>
          <w:sz w:val="20"/>
        </w:rPr>
      </w:pPr>
      <w:r>
        <w:rPr>
          <w:sz w:val="20"/>
        </w:rPr>
        <w:t>gestreckte Linien-</w:t>
      </w:r>
      <w:r>
        <w:rPr>
          <w:sz w:val="20"/>
        </w:rPr>
        <w:tab/>
        <w:t>Gemeinde Hergiswil)</w:t>
      </w:r>
    </w:p>
    <w:p w:rsidR="00EA6B58" w:rsidRDefault="006B2983" w:rsidP="00EA6B58">
      <w:pPr>
        <w:pStyle w:val="Textkrper"/>
        <w:rPr>
          <w:sz w:val="20"/>
        </w:rPr>
      </w:pPr>
      <w:r>
        <w:rPr>
          <w:sz w:val="20"/>
        </w:rPr>
        <w:t>führung</w:t>
      </w:r>
      <w:r>
        <w:rPr>
          <w:sz w:val="20"/>
        </w:rPr>
        <w:tab/>
      </w:r>
      <w:r>
        <w:rPr>
          <w:sz w:val="20"/>
        </w:rPr>
        <w:tab/>
        <w:t xml:space="preserve"> </w:t>
      </w:r>
    </w:p>
    <w:p w:rsidR="00EA6B58" w:rsidRDefault="006B2983">
      <w:pPr>
        <w:pStyle w:val="Textkrper"/>
        <w:rPr>
          <w:sz w:val="20"/>
        </w:rPr>
      </w:pPr>
      <w:r>
        <w:rPr>
          <w:sz w:val="20"/>
        </w:rPr>
        <w:t>Total Nidwalden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29,46 </w:t>
      </w:r>
      <w:r>
        <w:rPr>
          <w:sz w:val="20"/>
        </w:rPr>
        <w:t>Mio.</w:t>
      </w:r>
    </w:p>
    <w:p w:rsidR="00EA6B58" w:rsidRDefault="006B2983" w:rsidP="00EA6B58">
      <w:pPr>
        <w:pStyle w:val="Textkrper"/>
        <w:spacing w:after="0"/>
        <w:rPr>
          <w:sz w:val="16"/>
          <w:szCs w:val="16"/>
        </w:rPr>
      </w:pPr>
      <w:r>
        <w:rPr>
          <w:sz w:val="16"/>
          <w:szCs w:val="16"/>
        </w:rPr>
        <w:t xml:space="preserve">Angaben in CHF;  </w:t>
      </w:r>
    </w:p>
    <w:p w:rsidR="006C5F67" w:rsidRPr="006C5F67" w:rsidRDefault="006B2983">
      <w:pPr>
        <w:pStyle w:val="Textkrper"/>
        <w:rPr>
          <w:sz w:val="16"/>
          <w:szCs w:val="16"/>
        </w:rPr>
      </w:pPr>
      <w:r>
        <w:rPr>
          <w:sz w:val="16"/>
          <w:szCs w:val="16"/>
        </w:rPr>
        <w:t>Der Landratsbeschluss</w:t>
      </w:r>
      <w:r>
        <w:rPr>
          <w:sz w:val="16"/>
          <w:szCs w:val="16"/>
        </w:rPr>
        <w:t xml:space="preserve"> </w:t>
      </w:r>
      <w:r>
        <w:rPr>
          <w:sz w:val="16"/>
          <w:szCs w:val="16"/>
        </w:rPr>
        <w:t xml:space="preserve">enthält 21,86 Mio. Die </w:t>
      </w:r>
      <w:r>
        <w:rPr>
          <w:sz w:val="16"/>
          <w:szCs w:val="16"/>
        </w:rPr>
        <w:t>Planungskosten</w:t>
      </w:r>
      <w:r>
        <w:rPr>
          <w:sz w:val="16"/>
          <w:szCs w:val="16"/>
        </w:rPr>
        <w:t>,</w:t>
      </w:r>
      <w:r>
        <w:rPr>
          <w:sz w:val="16"/>
          <w:szCs w:val="16"/>
        </w:rPr>
        <w:t xml:space="preserve"> welche von Nidwalden mitfinanziert wurden</w:t>
      </w:r>
      <w:r>
        <w:rPr>
          <w:sz w:val="16"/>
          <w:szCs w:val="16"/>
        </w:rPr>
        <w:t>,</w:t>
      </w:r>
      <w:r>
        <w:rPr>
          <w:sz w:val="16"/>
          <w:szCs w:val="16"/>
        </w:rPr>
        <w:t xml:space="preserve"> </w:t>
      </w:r>
      <w:r>
        <w:rPr>
          <w:sz w:val="16"/>
          <w:szCs w:val="16"/>
        </w:rPr>
        <w:t>sind von den Bru</w:t>
      </w:r>
      <w:r>
        <w:rPr>
          <w:sz w:val="16"/>
          <w:szCs w:val="16"/>
        </w:rPr>
        <w:t>t</w:t>
      </w:r>
      <w:r>
        <w:rPr>
          <w:sz w:val="16"/>
          <w:szCs w:val="16"/>
        </w:rPr>
        <w:t xml:space="preserve">tokosten von </w:t>
      </w:r>
      <w:r>
        <w:rPr>
          <w:sz w:val="16"/>
          <w:szCs w:val="16"/>
        </w:rPr>
        <w:t xml:space="preserve"> </w:t>
      </w:r>
      <w:r>
        <w:rPr>
          <w:sz w:val="16"/>
          <w:szCs w:val="16"/>
        </w:rPr>
        <w:t>22</w:t>
      </w:r>
      <w:r>
        <w:rPr>
          <w:sz w:val="16"/>
          <w:szCs w:val="16"/>
        </w:rPr>
        <w:t>,</w:t>
      </w:r>
      <w:r>
        <w:rPr>
          <w:sz w:val="16"/>
          <w:szCs w:val="16"/>
        </w:rPr>
        <w:t>7</w:t>
      </w:r>
      <w:r>
        <w:rPr>
          <w:sz w:val="16"/>
          <w:szCs w:val="16"/>
        </w:rPr>
        <w:t>6 Mio.</w:t>
      </w:r>
      <w:r>
        <w:rPr>
          <w:sz w:val="16"/>
          <w:szCs w:val="16"/>
        </w:rPr>
        <w:t xml:space="preserve"> </w:t>
      </w:r>
      <w:r>
        <w:rPr>
          <w:sz w:val="16"/>
          <w:szCs w:val="16"/>
        </w:rPr>
        <w:t>abgezogen worden.</w:t>
      </w:r>
      <w:r>
        <w:rPr>
          <w:sz w:val="16"/>
          <w:szCs w:val="16"/>
        </w:rPr>
        <w:t xml:space="preserve"> </w:t>
      </w:r>
    </w:p>
    <w:p w:rsidR="00430933" w:rsidRDefault="006B2983">
      <w:pPr>
        <w:pStyle w:val="Textkrper"/>
      </w:pPr>
      <w:r>
        <w:t xml:space="preserve">Für die einzelnen Teilprojekte </w:t>
      </w:r>
      <w:r>
        <w:t>gelten</w:t>
      </w:r>
      <w:r>
        <w:t xml:space="preserve"> </w:t>
      </w:r>
      <w:r>
        <w:t>jeweils</w:t>
      </w:r>
      <w:r>
        <w:t xml:space="preserve"> </w:t>
      </w:r>
      <w:r>
        <w:t xml:space="preserve">eigene </w:t>
      </w:r>
      <w:r>
        <w:t xml:space="preserve">Kostenteiler </w:t>
      </w:r>
      <w:r>
        <w:t>unter den Finanzierung</w:t>
      </w:r>
      <w:r>
        <w:t>s</w:t>
      </w:r>
      <w:r>
        <w:t xml:space="preserve">partnern. </w:t>
      </w:r>
      <w:r>
        <w:t>Die Kosten für d</w:t>
      </w:r>
      <w:r>
        <w:t xml:space="preserve">as Teilprojekt </w:t>
      </w:r>
      <w:r>
        <w:t xml:space="preserve">Doppelspur Hergiswil Schlüssel-Matt </w:t>
      </w:r>
      <w:r>
        <w:t xml:space="preserve">werden unter </w:t>
      </w:r>
      <w:r>
        <w:t xml:space="preserve"> de</w:t>
      </w:r>
      <w:r>
        <w:t>n</w:t>
      </w:r>
      <w:r>
        <w:t xml:space="preserve"> drei Finanzierungspartner</w:t>
      </w:r>
      <w:r>
        <w:t>n</w:t>
      </w:r>
      <w:r>
        <w:t xml:space="preserve"> Luzern</w:t>
      </w:r>
      <w:r>
        <w:t>,</w:t>
      </w:r>
      <w:r>
        <w:t xml:space="preserve"> Nidwalden und Obwalden</w:t>
      </w:r>
      <w:r>
        <w:t xml:space="preserve"> aufgeteilt.</w:t>
      </w:r>
      <w:r>
        <w:t xml:space="preserve"> Für Nidwalden resultiert daraus ein Anteil von Fr. 2</w:t>
      </w:r>
      <w:r>
        <w:t>2</w:t>
      </w:r>
      <w:r>
        <w:t>,</w:t>
      </w:r>
      <w:r>
        <w:t>7</w:t>
      </w:r>
      <w:r>
        <w:t>6 Mio. Dazu w</w:t>
      </w:r>
      <w:r>
        <w:t>urde vorbehältlich eines Beitrag</w:t>
      </w:r>
      <w:r>
        <w:t>s</w:t>
      </w:r>
      <w:r>
        <w:t xml:space="preserve"> der Gemeinde Hergiswil von Fr. 3,3 Mio.</w:t>
      </w:r>
      <w:r>
        <w:t>,</w:t>
      </w:r>
      <w:r>
        <w:t xml:space="preserve"> ein Kantonsbeitrag von Fr. 6,7 Mio. an die gestreckte Linienführung beschlossen. Die gestreckte Linienführung der Doppelspur Hergiswil Schlüssel Matt wurde mit Kosten </w:t>
      </w:r>
      <w:r>
        <w:t xml:space="preserve">von </w:t>
      </w:r>
      <w:r>
        <w:t>Fr. 25 Mio</w:t>
      </w:r>
      <w:r>
        <w:t xml:space="preserve">. </w:t>
      </w:r>
      <w:r>
        <w:t>veranschlagt</w:t>
      </w:r>
      <w:r>
        <w:t>.</w:t>
      </w:r>
      <w:r>
        <w:t xml:space="preserve"> </w:t>
      </w:r>
      <w:r>
        <w:t>Damit ergibt sich ein Gesamtbeitrag von Nidwalden in der Höhe von Fr. 2</w:t>
      </w:r>
      <w:r>
        <w:t>9</w:t>
      </w:r>
      <w:r>
        <w:t>,</w:t>
      </w:r>
      <w:r>
        <w:t>4</w:t>
      </w:r>
      <w:r>
        <w:t>6 Mio.</w:t>
      </w:r>
      <w:r>
        <w:t xml:space="preserve"> </w:t>
      </w:r>
      <w:r>
        <w:t xml:space="preserve">an das Gesamtprojekt.  </w:t>
      </w:r>
    </w:p>
    <w:p w:rsidR="009738CB" w:rsidRDefault="006B2983">
      <w:pPr>
        <w:pStyle w:val="Textkrper"/>
      </w:pPr>
      <w:r>
        <w:t>2.</w:t>
      </w:r>
      <w:r>
        <w:br/>
        <w:t xml:space="preserve">Am 7. Juni 2011 (RRB Nr. 432) hatte der </w:t>
      </w:r>
      <w:r>
        <w:t>Regierungs</w:t>
      </w:r>
      <w:r>
        <w:t>rat</w:t>
      </w:r>
      <w:r>
        <w:t xml:space="preserve"> bereits</w:t>
      </w:r>
      <w:r>
        <w:t xml:space="preserve"> von einer Anpassung des Kostenteilers für die Doppelspur Hergiswil Sch</w:t>
      </w:r>
      <w:r>
        <w:t xml:space="preserve">lüssel-Matt Kenntnis genommen. </w:t>
      </w:r>
      <w:r>
        <w:t>Damals wurde davon ausgegangen, dass die Sistierung des Auflageprojektes zu Minderkosten für das Gesamtprojekt führen würde. Demzufolge war auch ein Minderaufwand für Nidwalden in Aussicht gestellt worden. Zu diesem Zeitpunkt</w:t>
      </w:r>
      <w:r>
        <w:t xml:space="preserve"> ging man von einer Einsparung </w:t>
      </w:r>
      <w:r>
        <w:t xml:space="preserve">für Nidwalden </w:t>
      </w:r>
      <w:r>
        <w:lastRenderedPageBreak/>
        <w:t xml:space="preserve">gegenüber dem Finanzbeschluss des Landrates in der Grössenordnung von </w:t>
      </w:r>
      <w:r>
        <w:t xml:space="preserve">Fr. </w:t>
      </w:r>
      <w:r>
        <w:t xml:space="preserve">5 Millionen aus. </w:t>
      </w:r>
    </w:p>
    <w:p w:rsidR="006C5F67" w:rsidRDefault="006B2983">
      <w:pPr>
        <w:pStyle w:val="Textkrper"/>
      </w:pPr>
      <w:r>
        <w:t>3.</w:t>
      </w:r>
      <w:r>
        <w:br/>
        <w:t>Am 15. Juni 2011 fällte die Politstrategische Führung des Agglomerationsprogramms Luzern (PSF) den Entscheid das Auf</w:t>
      </w:r>
      <w:r>
        <w:t xml:space="preserve">lageprojekt für die Doppelspur in Hergiswil zu sistieren. Am 21. September 2011 informierte der Baudirektor die Vertreter des Bundesamtes für Verkehr </w:t>
      </w:r>
      <w:r>
        <w:t xml:space="preserve">(BAV) </w:t>
      </w:r>
      <w:r>
        <w:t xml:space="preserve">über die Planungsarbeiten zum Vorprojekt für einen Tunnel lang in Hergiswil. </w:t>
      </w:r>
      <w:r>
        <w:t>Es</w:t>
      </w:r>
      <w:r>
        <w:t xml:space="preserve"> wu</w:t>
      </w:r>
      <w:r>
        <w:t>r</w:t>
      </w:r>
      <w:r>
        <w:t>de aufgezeigt, da</w:t>
      </w:r>
      <w:r>
        <w:t>ss Alternativen zum sistier</w:t>
      </w:r>
      <w:r>
        <w:t>t</w:t>
      </w:r>
      <w:r>
        <w:t>en Auflageprojekt gesucht werden und die Pl</w:t>
      </w:r>
      <w:r>
        <w:t>a</w:t>
      </w:r>
      <w:r>
        <w:t>nung dazu vollumfänglich von Nidwalden finanziert wird. Dabei wurde auch die Frage them</w:t>
      </w:r>
      <w:r>
        <w:t>a</w:t>
      </w:r>
      <w:r>
        <w:t>tisiert, was mit den Mitteln für den</w:t>
      </w:r>
      <w:r>
        <w:t xml:space="preserve"> nicht realisierten </w:t>
      </w:r>
      <w:r>
        <w:t>Doppelspurausbau in Hergiswil nach dem P</w:t>
      </w:r>
      <w:r>
        <w:t>rojektabschluss geschieht. Das B</w:t>
      </w:r>
      <w:r>
        <w:t>AV</w:t>
      </w:r>
      <w:r>
        <w:t xml:space="preserve"> stellte in Aussicht, dass die dafür reservierten Mittel zu Gunsten eines Alternativprojektes reserviert werden könnten. </w:t>
      </w:r>
    </w:p>
    <w:p w:rsidR="006C5F67" w:rsidRDefault="006B2983" w:rsidP="006C5F67">
      <w:pPr>
        <w:pStyle w:val="Textkrper"/>
        <w:spacing w:after="0"/>
      </w:pPr>
      <w:r>
        <w:t>4.</w:t>
      </w:r>
    </w:p>
    <w:p w:rsidR="00E34694" w:rsidRDefault="006B2983" w:rsidP="00E34694">
      <w:pPr>
        <w:pStyle w:val="Textkrper"/>
      </w:pPr>
      <w:r>
        <w:t>Aufgrund der Erkenntnisse aus der Planung des Auflageprojektes ist heute für den Doppe</w:t>
      </w:r>
      <w:r>
        <w:t>l</w:t>
      </w:r>
      <w:r>
        <w:t>spurausbau</w:t>
      </w:r>
      <w:r>
        <w:t xml:space="preserve"> Hergiswil Schlüssel-Matt mit Fr. 28,4 Millionen zu rechnen. Im Landratsb</w:t>
      </w:r>
      <w:r>
        <w:t>e</w:t>
      </w:r>
      <w:r>
        <w:t>schluss war dieser Streckenabschnitt mit Fr. 15 Millionen enthalten. Die Mehrkosten sind auf die schwierigen Verhältnisse bezüglich der Querung von Bachläufen und den Anforderungen a</w:t>
      </w:r>
      <w:r>
        <w:t>n den Hochwasserschutz zurückzuführen.</w:t>
      </w:r>
    </w:p>
    <w:p w:rsidR="00F73D27" w:rsidRDefault="006B2983" w:rsidP="00E34694">
      <w:pPr>
        <w:pStyle w:val="Textkrper"/>
      </w:pPr>
      <w:r>
        <w:t xml:space="preserve">Mit Schreiben vom </w:t>
      </w:r>
      <w:r>
        <w:t>25. Oktober 2010</w:t>
      </w:r>
      <w:r>
        <w:t xml:space="preserve"> hat </w:t>
      </w:r>
      <w:r>
        <w:t xml:space="preserve">sich </w:t>
      </w:r>
      <w:r>
        <w:t xml:space="preserve">das Bundesamt für Verkehr (BAV) </w:t>
      </w:r>
      <w:r>
        <w:t>zu allfälligen Mehrkosten für den Ausbau der</w:t>
      </w:r>
      <w:r>
        <w:t xml:space="preserve"> Doppelspur</w:t>
      </w:r>
      <w:r>
        <w:t xml:space="preserve"> </w:t>
      </w:r>
      <w:r>
        <w:t xml:space="preserve">Hergiswil Schlüssel-Matt geäussert. </w:t>
      </w:r>
      <w:r>
        <w:t>Es ging dabei auch um eine allfällige Projektände</w:t>
      </w:r>
      <w:r>
        <w:t>rung für den Doppelspurausbau nach der Sistierung des Auflageprojekts.</w:t>
      </w:r>
      <w:r>
        <w:t xml:space="preserve"> Das BAV hielt fest, dass die zugesagten Kantons- und Gemeindebe</w:t>
      </w:r>
      <w:r>
        <w:t>i</w:t>
      </w:r>
      <w:r>
        <w:t xml:space="preserve">träge des Teilprojekts Hergiswil </w:t>
      </w:r>
      <w:r>
        <w:t xml:space="preserve">unter Einbezug der bekannten Mehrkosten </w:t>
      </w:r>
      <w:r>
        <w:t>für spätere Infr</w:t>
      </w:r>
      <w:r>
        <w:t>a</w:t>
      </w:r>
      <w:r>
        <w:t xml:space="preserve">strukturbauten der Zentralbahn </w:t>
      </w:r>
      <w:r>
        <w:t>in diesem Abschnitt gesichert werden müssen. Weiter führte das</w:t>
      </w:r>
      <w:r>
        <w:t xml:space="preserve"> BAV </w:t>
      </w:r>
      <w:r>
        <w:t>aus</w:t>
      </w:r>
      <w:r>
        <w:t xml:space="preserve">, dass eine Projektänderung, beispielsweise ein Doppelspurtunnel, zwingend zu einer Anpassung und neuen Aushandlung der Finanzierungsbedingungen führt.   </w:t>
      </w:r>
    </w:p>
    <w:p w:rsidR="00E34694" w:rsidRDefault="006B2983" w:rsidP="006C5F67">
      <w:pPr>
        <w:pStyle w:val="Textkrper"/>
        <w:spacing w:after="0"/>
      </w:pPr>
      <w:r>
        <w:t>5.</w:t>
      </w:r>
    </w:p>
    <w:p w:rsidR="00FB6659" w:rsidRDefault="006B2983">
      <w:pPr>
        <w:pStyle w:val="Textkrper"/>
      </w:pPr>
      <w:r>
        <w:t>Die Projektleitung für das G</w:t>
      </w:r>
      <w:r>
        <w:t xml:space="preserve">esamtprojekt </w:t>
      </w:r>
      <w:r>
        <w:t>„</w:t>
      </w:r>
      <w:r>
        <w:t xml:space="preserve">Ausbauten der zb </w:t>
      </w:r>
      <w:r>
        <w:t>in den Kantonen Luzern, Ni</w:t>
      </w:r>
      <w:r>
        <w:t>d</w:t>
      </w:r>
      <w:r>
        <w:t xml:space="preserve">walden und Obwalden“ </w:t>
      </w:r>
      <w:r>
        <w:t xml:space="preserve">hat aufgrund der geänderten Rahmenbedingungen und der aktuellen </w:t>
      </w:r>
      <w:r>
        <w:t>End</w:t>
      </w:r>
      <w:r>
        <w:t xml:space="preserve">kostenprognose eine </w:t>
      </w:r>
      <w:r>
        <w:t xml:space="preserve">neue Kostenverteilung für die Doppelspur Hergiswil Schlüssel-Matt erarbeitet. Dabei zeigt </w:t>
      </w:r>
      <w:r>
        <w:t xml:space="preserve">sich, dass der Anteil des Kantons Nidwalden um </w:t>
      </w:r>
      <w:r>
        <w:t xml:space="preserve">Fr. </w:t>
      </w:r>
      <w:r>
        <w:t>1,2 Millionen über dem bewilligten Kredit des Landrates liegt. An der Sitzung vom 13. November 2012 soll di</w:t>
      </w:r>
      <w:r>
        <w:t>e</w:t>
      </w:r>
      <w:r>
        <w:t>se neue Kostenaufteilung von der Politstrategischen Führung des Agglomerationspr</w:t>
      </w:r>
      <w:r>
        <w:t>o</w:t>
      </w:r>
      <w:r>
        <w:t>gramms Luzern (</w:t>
      </w:r>
      <w:r>
        <w:t>P</w:t>
      </w:r>
      <w:r>
        <w:t xml:space="preserve">SF) verabschiedet werden. </w:t>
      </w:r>
    </w:p>
    <w:p w:rsidR="003E2E41" w:rsidRDefault="006B2983">
      <w:pPr>
        <w:pStyle w:val="berschrift1"/>
      </w:pPr>
      <w:r>
        <w:t>Erwägungen</w:t>
      </w:r>
    </w:p>
    <w:p w:rsidR="00B55ADC" w:rsidRDefault="006B2983">
      <w:pPr>
        <w:pStyle w:val="Textkrper"/>
      </w:pPr>
      <w:r>
        <w:t>1.</w:t>
      </w:r>
      <w:r>
        <w:br/>
        <w:t xml:space="preserve">Der Landratsbeschluss </w:t>
      </w:r>
      <w:r>
        <w:t xml:space="preserve">vom 23. Januar 2008 </w:t>
      </w:r>
      <w:r>
        <w:t>für die Ausbauten der zb in den Kantonen L</w:t>
      </w:r>
      <w:r>
        <w:t>u</w:t>
      </w:r>
      <w:r>
        <w:t xml:space="preserve">zern, Ob- und Nidwalden sah für die gestreckte Linienführung der Doppelspur Hergiswil Schlüssel-Matt Gesamtkosten von </w:t>
      </w:r>
      <w:r>
        <w:t xml:space="preserve">Fr. </w:t>
      </w:r>
      <w:r>
        <w:t>25 Milli</w:t>
      </w:r>
      <w:r>
        <w:t xml:space="preserve">onen vor. </w:t>
      </w:r>
      <w:r>
        <w:t xml:space="preserve">Fr. </w:t>
      </w:r>
      <w:r>
        <w:t xml:space="preserve">15 Millionen davon wurden durch das Gesamtprojekt finanziert. Die zusätzlichen </w:t>
      </w:r>
      <w:r>
        <w:t xml:space="preserve">Fr. </w:t>
      </w:r>
      <w:r>
        <w:t>10 Millionen</w:t>
      </w:r>
      <w:r>
        <w:t xml:space="preserve"> für die gestreckte Linienfü</w:t>
      </w:r>
      <w:r>
        <w:t>h</w:t>
      </w:r>
      <w:r>
        <w:t>rung</w:t>
      </w:r>
      <w:r>
        <w:t xml:space="preserve"> waren durch den Kanton Nidwalden und die Gemeinde Hergiswil aufzubringen. Au</w:t>
      </w:r>
      <w:r>
        <w:t>f</w:t>
      </w:r>
      <w:r>
        <w:t>grund der Tatsache, dass das Auflage</w:t>
      </w:r>
      <w:r>
        <w:t>projekt sistiert wurde, kam aber kein Gemeindeve</w:t>
      </w:r>
      <w:r>
        <w:t>r</w:t>
      </w:r>
      <w:r>
        <w:t>sammlungsbeschluss für den Anteil der Gemeinde Hergiswil zu Stande. Aufgrund der E</w:t>
      </w:r>
      <w:r>
        <w:t>r</w:t>
      </w:r>
      <w:r>
        <w:t>kenntnisse aus dem Auflageprojekt zeigt sich, dass ein Doppelspur</w:t>
      </w:r>
      <w:r>
        <w:t>ausbau</w:t>
      </w:r>
      <w:r>
        <w:t xml:space="preserve"> zwischen He</w:t>
      </w:r>
      <w:r>
        <w:t>r</w:t>
      </w:r>
      <w:r>
        <w:t>giswil Schlüssel-Matt</w:t>
      </w:r>
      <w:r>
        <w:t>,</w:t>
      </w:r>
      <w:r>
        <w:t xml:space="preserve"> </w:t>
      </w:r>
      <w:r>
        <w:t>auch ohne gestrec</w:t>
      </w:r>
      <w:r>
        <w:t xml:space="preserve">kte Linienführung, </w:t>
      </w:r>
      <w:r>
        <w:t xml:space="preserve">Kosten von </w:t>
      </w:r>
      <w:r>
        <w:t xml:space="preserve">Fr. </w:t>
      </w:r>
      <w:r>
        <w:t xml:space="preserve">28,4 Millionen </w:t>
      </w:r>
      <w:r>
        <w:t>verursacht.</w:t>
      </w:r>
      <w:r>
        <w:t xml:space="preserve"> Dieser Betrag wird auf die drei Finanzierungspartner aufgeteilt. Die Haltestelle Hergiswil Matt wird vom Bund und </w:t>
      </w:r>
      <w:r>
        <w:t xml:space="preserve">dem </w:t>
      </w:r>
      <w:r>
        <w:t xml:space="preserve">Kanton Nidwalden je zur Hälfte finanziert. </w:t>
      </w:r>
      <w:r>
        <w:t>Der Anteil von Nidwalden am Doppel</w:t>
      </w:r>
      <w:r>
        <w:t xml:space="preserve">spurausbau Hergiswil Schlüssel-Matt beträgt neu Fr. 6,1 Mio. </w:t>
      </w:r>
    </w:p>
    <w:p w:rsidR="003E2E41" w:rsidRDefault="006B2983">
      <w:pPr>
        <w:pStyle w:val="Textkrper"/>
      </w:pPr>
      <w:r>
        <w:t xml:space="preserve">Gemäss </w:t>
      </w:r>
      <w:r>
        <w:t xml:space="preserve">Landratsbeschluss betrug der Anteil </w:t>
      </w:r>
      <w:r>
        <w:t>des Kantons Nidwalden an das Gesamtprojekt von Fr. 2</w:t>
      </w:r>
      <w:r>
        <w:t>9</w:t>
      </w:r>
      <w:r>
        <w:t>,</w:t>
      </w:r>
      <w:r>
        <w:t>4</w:t>
      </w:r>
      <w:r>
        <w:t xml:space="preserve">6 Mio. Davon waren </w:t>
      </w:r>
      <w:r>
        <w:t xml:space="preserve">Fr. </w:t>
      </w:r>
      <w:r>
        <w:t>9,6</w:t>
      </w:r>
      <w:r>
        <w:t xml:space="preserve"> Mio. (Fr. 2,9 + </w:t>
      </w:r>
      <w:r>
        <w:t>6,7</w:t>
      </w:r>
      <w:r>
        <w:t xml:space="preserve"> Mio.)</w:t>
      </w:r>
      <w:r>
        <w:t xml:space="preserve"> für den Doppelspurausbau </w:t>
      </w:r>
      <w:r>
        <w:lastRenderedPageBreak/>
        <w:t>Hergiswil Schlüsse</w:t>
      </w:r>
      <w:r>
        <w:t>l-Matt vorgesehen.</w:t>
      </w:r>
      <w:r>
        <w:t xml:space="preserve"> Der neue Kostenteiler sieht einen Beitrag von Nidwa</w:t>
      </w:r>
      <w:r>
        <w:t>l</w:t>
      </w:r>
      <w:r>
        <w:t>den von Fr. 24,1 Mio. an das Gesamtprojekt vor.</w:t>
      </w:r>
      <w:r>
        <w:t xml:space="preserve"> </w:t>
      </w:r>
      <w:r>
        <w:t xml:space="preserve">Effektiv bezahlt Nidwalden </w:t>
      </w:r>
      <w:r>
        <w:t xml:space="preserve">nach neuem Kostenteiler </w:t>
      </w:r>
      <w:r>
        <w:t xml:space="preserve">an das Gesamtprojekt mit der gestreckten Linienführung in Hergiswil </w:t>
      </w:r>
      <w:r>
        <w:t xml:space="preserve">Fr. </w:t>
      </w:r>
      <w:r>
        <w:t>5</w:t>
      </w:r>
      <w:r>
        <w:t>,</w:t>
      </w:r>
      <w:r>
        <w:t>3</w:t>
      </w:r>
      <w:r>
        <w:t xml:space="preserve">6 weniger </w:t>
      </w:r>
      <w:r>
        <w:t>a</w:t>
      </w:r>
      <w:r>
        <w:t>ls im Finanzbeschluss des Landrats.</w:t>
      </w:r>
      <w:r>
        <w:t xml:space="preserve"> Grund dafür ist die Beteiligung aller Finan</w:t>
      </w:r>
      <w:r>
        <w:t>z</w:t>
      </w:r>
      <w:r>
        <w:t xml:space="preserve">partner an der teureren Doppelspur in Hergiswil. Nidwalden hätte gemäss Landratsbeschluss Fr. 9,7 Mio. daran leisten müssen. Heute beträgt dieser Anteil Fr. 6,1 Mio.  </w:t>
      </w:r>
    </w:p>
    <w:p w:rsidR="00A64D19" w:rsidRDefault="006B2983">
      <w:pPr>
        <w:pStyle w:val="Textkrper"/>
      </w:pPr>
      <w:r>
        <w:t>2.</w:t>
      </w:r>
      <w:r>
        <w:br/>
      </w:r>
      <w:r>
        <w:t>Heute</w:t>
      </w:r>
      <w:r>
        <w:t xml:space="preserve"> wird </w:t>
      </w:r>
      <w:r>
        <w:t xml:space="preserve">von der Projektleitung </w:t>
      </w:r>
      <w:r>
        <w:t xml:space="preserve">nach wie vor mit einer Endkostenprognose von </w:t>
      </w:r>
      <w:r>
        <w:t xml:space="preserve">Fr. </w:t>
      </w:r>
      <w:r>
        <w:t>250 Millionen gerechnet.</w:t>
      </w:r>
    </w:p>
    <w:p w:rsidR="00AD2244" w:rsidRPr="00AD2244" w:rsidRDefault="006B2983" w:rsidP="00AD2244">
      <w:pPr>
        <w:pStyle w:val="Textkrper"/>
        <w:rPr>
          <w:sz w:val="20"/>
        </w:rPr>
      </w:pPr>
      <w:r w:rsidRPr="00F35D35">
        <w:rPr>
          <w:sz w:val="20"/>
          <w:u w:val="single"/>
        </w:rPr>
        <w:t>Teilprojekt</w:t>
      </w:r>
      <w:r>
        <w:rPr>
          <w:sz w:val="20"/>
        </w:rPr>
        <w:tab/>
      </w:r>
      <w:r w:rsidRPr="00F35D35">
        <w:rPr>
          <w:sz w:val="20"/>
        </w:rPr>
        <w:tab/>
      </w:r>
      <w:r w:rsidRPr="00AD2244">
        <w:rPr>
          <w:sz w:val="20"/>
          <w:u w:val="single"/>
        </w:rPr>
        <w:t>Landrats-Beschluss</w:t>
      </w:r>
      <w:r w:rsidRPr="00F35D35">
        <w:rPr>
          <w:sz w:val="20"/>
        </w:rPr>
        <w:tab/>
      </w:r>
      <w:r w:rsidRPr="00B471CA">
        <w:rPr>
          <w:sz w:val="20"/>
          <w:u w:val="single"/>
        </w:rPr>
        <w:t>Anteil NW</w:t>
      </w:r>
      <w:r>
        <w:rPr>
          <w:sz w:val="20"/>
        </w:rPr>
        <w:tab/>
      </w:r>
      <w:r w:rsidRPr="00AD2244">
        <w:rPr>
          <w:sz w:val="20"/>
          <w:u w:val="single"/>
        </w:rPr>
        <w:t>Endkostenprognose</w:t>
      </w:r>
      <w:r>
        <w:rPr>
          <w:sz w:val="20"/>
        </w:rPr>
        <w:tab/>
      </w:r>
      <w:r w:rsidRPr="00AD2244">
        <w:rPr>
          <w:sz w:val="20"/>
          <w:u w:val="single"/>
        </w:rPr>
        <w:t>Anteil NW</w:t>
      </w:r>
    </w:p>
    <w:p w:rsidR="00AD2244" w:rsidRDefault="006B2983" w:rsidP="00AD2244">
      <w:pPr>
        <w:pStyle w:val="Textkrper"/>
        <w:spacing w:after="0"/>
        <w:rPr>
          <w:sz w:val="20"/>
        </w:rPr>
      </w:pPr>
      <w:r w:rsidRPr="00F35D35">
        <w:rPr>
          <w:sz w:val="20"/>
        </w:rPr>
        <w:t>1.Tieflegung der zb</w:t>
      </w:r>
      <w:r w:rsidRPr="00F35D35">
        <w:rPr>
          <w:sz w:val="20"/>
        </w:rPr>
        <w:tab/>
      </w:r>
      <w:r>
        <w:rPr>
          <w:sz w:val="20"/>
        </w:rPr>
        <w:t xml:space="preserve">       119,9 Mio.</w:t>
      </w:r>
      <w:r w:rsidRPr="00F35D35">
        <w:rPr>
          <w:sz w:val="20"/>
        </w:rPr>
        <w:tab/>
      </w:r>
      <w:r w:rsidRPr="00F35D35">
        <w:rPr>
          <w:sz w:val="20"/>
        </w:rPr>
        <w:tab/>
      </w:r>
      <w:r>
        <w:rPr>
          <w:sz w:val="20"/>
        </w:rPr>
        <w:t>0</w:t>
      </w:r>
      <w:r>
        <w:rPr>
          <w:sz w:val="20"/>
        </w:rPr>
        <w:tab/>
      </w:r>
      <w:r>
        <w:rPr>
          <w:sz w:val="20"/>
        </w:rPr>
        <w:tab/>
        <w:t xml:space="preserve">         80,88 Mio.</w:t>
      </w:r>
      <w:r w:rsidRPr="00F35D35">
        <w:rPr>
          <w:sz w:val="20"/>
        </w:rPr>
        <w:tab/>
      </w:r>
      <w:r>
        <w:rPr>
          <w:sz w:val="20"/>
        </w:rPr>
        <w:t xml:space="preserve"> </w:t>
      </w:r>
      <w:r>
        <w:rPr>
          <w:sz w:val="20"/>
        </w:rPr>
        <w:t>0</w:t>
      </w:r>
    </w:p>
    <w:p w:rsidR="00AD2244" w:rsidRDefault="006B2983" w:rsidP="00B55ADC">
      <w:pPr>
        <w:pStyle w:val="Textkrper"/>
        <w:spacing w:after="0"/>
        <w:rPr>
          <w:sz w:val="20"/>
        </w:rPr>
      </w:pPr>
      <w:r>
        <w:rPr>
          <w:sz w:val="20"/>
        </w:rPr>
        <w:t xml:space="preserve">   </w:t>
      </w:r>
      <w:r w:rsidRPr="00F35D35">
        <w:rPr>
          <w:sz w:val="20"/>
        </w:rPr>
        <w:t>(Tunnel)</w:t>
      </w:r>
    </w:p>
    <w:p w:rsidR="00A64D19" w:rsidRDefault="006B2983" w:rsidP="00B55ADC">
      <w:pPr>
        <w:pStyle w:val="Textkrper"/>
        <w:spacing w:after="0"/>
        <w:rPr>
          <w:sz w:val="20"/>
        </w:rPr>
      </w:pPr>
    </w:p>
    <w:p w:rsidR="00AD2244" w:rsidRPr="00F35D35" w:rsidRDefault="006B2983" w:rsidP="00AD2244">
      <w:pPr>
        <w:pStyle w:val="Textkrper"/>
        <w:spacing w:after="0"/>
        <w:rPr>
          <w:sz w:val="20"/>
          <w:u w:val="single"/>
        </w:rPr>
      </w:pPr>
      <w:r>
        <w:rPr>
          <w:sz w:val="20"/>
        </w:rPr>
        <w:t>2.Doppelspurausbau</w:t>
      </w:r>
      <w:r>
        <w:rPr>
          <w:sz w:val="20"/>
        </w:rPr>
        <w:tab/>
      </w:r>
      <w:r>
        <w:rPr>
          <w:sz w:val="20"/>
        </w:rPr>
        <w:t xml:space="preserve">  </w:t>
      </w:r>
      <w:r>
        <w:rPr>
          <w:sz w:val="20"/>
        </w:rPr>
        <w:t xml:space="preserve">  </w:t>
      </w:r>
      <w:r>
        <w:rPr>
          <w:sz w:val="20"/>
        </w:rPr>
        <w:t xml:space="preserve">     </w:t>
      </w:r>
      <w:r>
        <w:rPr>
          <w:sz w:val="20"/>
        </w:rPr>
        <w:t>91,5</w:t>
      </w:r>
      <w:r w:rsidRPr="0044692B">
        <w:rPr>
          <w:sz w:val="20"/>
        </w:rPr>
        <w:t xml:space="preserve"> Mio.</w:t>
      </w:r>
      <w:r w:rsidRPr="0044692B">
        <w:rPr>
          <w:sz w:val="20"/>
        </w:rPr>
        <w:tab/>
      </w:r>
      <w:r w:rsidRPr="00A14145">
        <w:rPr>
          <w:sz w:val="20"/>
        </w:rPr>
        <w:t xml:space="preserve">    </w:t>
      </w:r>
      <w:r w:rsidRPr="00A14145">
        <w:rPr>
          <w:sz w:val="20"/>
        </w:rPr>
        <w:t xml:space="preserve"> </w:t>
      </w:r>
      <w:r w:rsidRPr="00A14145">
        <w:rPr>
          <w:sz w:val="20"/>
        </w:rPr>
        <w:t xml:space="preserve">    </w:t>
      </w:r>
      <w:r>
        <w:rPr>
          <w:sz w:val="20"/>
        </w:rPr>
        <w:t xml:space="preserve">    </w:t>
      </w:r>
      <w:r>
        <w:rPr>
          <w:sz w:val="20"/>
        </w:rPr>
        <w:t xml:space="preserve">18,33 </w:t>
      </w:r>
      <w:r w:rsidRPr="00A14145">
        <w:rPr>
          <w:sz w:val="20"/>
        </w:rPr>
        <w:t>Mio.</w:t>
      </w:r>
      <w:r>
        <w:rPr>
          <w:sz w:val="20"/>
        </w:rPr>
        <w:t xml:space="preserve">   </w:t>
      </w:r>
      <w:r w:rsidRPr="0044692B">
        <w:rPr>
          <w:sz w:val="20"/>
        </w:rPr>
        <w:t xml:space="preserve"> </w:t>
      </w:r>
      <w:r w:rsidRPr="0044692B">
        <w:rPr>
          <w:sz w:val="20"/>
        </w:rPr>
        <w:tab/>
      </w:r>
      <w:r>
        <w:rPr>
          <w:sz w:val="20"/>
        </w:rPr>
        <w:t xml:space="preserve">         </w:t>
      </w:r>
      <w:r>
        <w:rPr>
          <w:sz w:val="20"/>
        </w:rPr>
        <w:t>98,</w:t>
      </w:r>
      <w:r>
        <w:rPr>
          <w:sz w:val="20"/>
        </w:rPr>
        <w:t>86</w:t>
      </w:r>
      <w:r w:rsidRPr="0044692B">
        <w:rPr>
          <w:sz w:val="20"/>
        </w:rPr>
        <w:t xml:space="preserve"> Mio.</w:t>
      </w:r>
      <w:r>
        <w:rPr>
          <w:sz w:val="20"/>
        </w:rPr>
        <w:t xml:space="preserve">     </w:t>
      </w:r>
      <w:r>
        <w:rPr>
          <w:sz w:val="20"/>
        </w:rPr>
        <w:tab/>
        <w:t xml:space="preserve"> 15,75 Mio.</w:t>
      </w:r>
    </w:p>
    <w:p w:rsidR="00A64D19" w:rsidRDefault="006B2983" w:rsidP="00B55ADC">
      <w:pPr>
        <w:pStyle w:val="Textkrper"/>
        <w:spacing w:after="0"/>
        <w:rPr>
          <w:sz w:val="20"/>
        </w:rPr>
      </w:pPr>
      <w:r>
        <w:rPr>
          <w:sz w:val="20"/>
        </w:rPr>
        <w:t xml:space="preserve">   in Luzern</w:t>
      </w:r>
      <w:r>
        <w:tab/>
      </w:r>
      <w:r>
        <w:tab/>
        <w:t xml:space="preserve">   </w:t>
      </w:r>
      <w:r>
        <w:rPr>
          <w:sz w:val="20"/>
        </w:rPr>
        <w:t xml:space="preserve">    </w:t>
      </w:r>
      <w:r w:rsidRPr="00390917">
        <w:rPr>
          <w:sz w:val="20"/>
        </w:rPr>
        <w:tab/>
      </w:r>
    </w:p>
    <w:p w:rsidR="00AD2244" w:rsidRPr="00390917" w:rsidRDefault="006B2983" w:rsidP="00B55ADC">
      <w:pPr>
        <w:pStyle w:val="Textkrper"/>
        <w:spacing w:after="0"/>
        <w:rPr>
          <w:sz w:val="20"/>
        </w:rPr>
      </w:pPr>
      <w:r>
        <w:rPr>
          <w:sz w:val="20"/>
        </w:rPr>
        <w:tab/>
      </w:r>
      <w:r>
        <w:rPr>
          <w:sz w:val="20"/>
        </w:rPr>
        <w:tab/>
      </w:r>
      <w:r>
        <w:rPr>
          <w:sz w:val="20"/>
        </w:rPr>
        <w:tab/>
        <w:t xml:space="preserve">      </w:t>
      </w:r>
    </w:p>
    <w:p w:rsidR="00AD2244" w:rsidRDefault="006B2983" w:rsidP="00B55ADC">
      <w:pPr>
        <w:pStyle w:val="Textkrper"/>
        <w:spacing w:after="0"/>
        <w:rPr>
          <w:sz w:val="20"/>
        </w:rPr>
      </w:pPr>
      <w:r w:rsidRPr="000C110A">
        <w:rPr>
          <w:sz w:val="20"/>
        </w:rPr>
        <w:t>3.Haltestelle Allmend</w:t>
      </w:r>
      <w:r w:rsidRPr="000C110A">
        <w:rPr>
          <w:sz w:val="20"/>
        </w:rPr>
        <w:tab/>
      </w:r>
      <w:r>
        <w:rPr>
          <w:sz w:val="20"/>
        </w:rPr>
        <w:t xml:space="preserve">         </w:t>
      </w:r>
      <w:r w:rsidRPr="000C110A">
        <w:rPr>
          <w:sz w:val="20"/>
        </w:rPr>
        <w:t>27,6 Mio.</w:t>
      </w:r>
      <w:r w:rsidRPr="000C110A">
        <w:rPr>
          <w:sz w:val="20"/>
        </w:rPr>
        <w:tab/>
      </w:r>
      <w:r>
        <w:rPr>
          <w:sz w:val="20"/>
        </w:rPr>
        <w:tab/>
        <w:t>0</w:t>
      </w:r>
      <w:r>
        <w:rPr>
          <w:sz w:val="20"/>
        </w:rPr>
        <w:tab/>
      </w:r>
      <w:r>
        <w:rPr>
          <w:sz w:val="20"/>
        </w:rPr>
        <w:tab/>
        <w:t xml:space="preserve">     </w:t>
      </w:r>
      <w:r>
        <w:rPr>
          <w:sz w:val="20"/>
        </w:rPr>
        <w:t xml:space="preserve"> </w:t>
      </w:r>
      <w:r>
        <w:rPr>
          <w:sz w:val="20"/>
        </w:rPr>
        <w:t xml:space="preserve">   35,25 Mio.</w:t>
      </w:r>
      <w:r>
        <w:rPr>
          <w:sz w:val="20"/>
        </w:rPr>
        <w:tab/>
      </w:r>
      <w:r>
        <w:rPr>
          <w:sz w:val="20"/>
        </w:rPr>
        <w:t xml:space="preserve"> </w:t>
      </w:r>
      <w:r>
        <w:rPr>
          <w:sz w:val="20"/>
        </w:rPr>
        <w:t>0</w:t>
      </w:r>
    </w:p>
    <w:p w:rsidR="00A64D19" w:rsidRPr="000C110A" w:rsidRDefault="006B2983" w:rsidP="00B55ADC">
      <w:pPr>
        <w:pStyle w:val="Textkrper"/>
        <w:spacing w:after="0"/>
        <w:rPr>
          <w:sz w:val="20"/>
        </w:rPr>
      </w:pPr>
    </w:p>
    <w:p w:rsidR="0044692B" w:rsidRDefault="006B2983" w:rsidP="0044692B">
      <w:pPr>
        <w:pStyle w:val="Textkrper"/>
        <w:spacing w:after="0"/>
        <w:rPr>
          <w:sz w:val="20"/>
        </w:rPr>
      </w:pPr>
      <w:r w:rsidRPr="000C110A">
        <w:rPr>
          <w:sz w:val="20"/>
        </w:rPr>
        <w:t>4.Doppelspurausbau</w:t>
      </w:r>
      <w:r w:rsidRPr="000C110A">
        <w:rPr>
          <w:sz w:val="20"/>
        </w:rPr>
        <w:tab/>
      </w:r>
      <w:r>
        <w:rPr>
          <w:sz w:val="20"/>
        </w:rPr>
        <w:t xml:space="preserve"> </w:t>
      </w:r>
      <w:r>
        <w:rPr>
          <w:sz w:val="20"/>
        </w:rPr>
        <w:t xml:space="preserve"> </w:t>
      </w:r>
      <w:r>
        <w:rPr>
          <w:sz w:val="20"/>
        </w:rPr>
        <w:t xml:space="preserve">  </w:t>
      </w:r>
      <w:r>
        <w:rPr>
          <w:sz w:val="20"/>
        </w:rPr>
        <w:t xml:space="preserve">    </w:t>
      </w:r>
      <w:r>
        <w:rPr>
          <w:sz w:val="20"/>
        </w:rPr>
        <w:t xml:space="preserve">    15 Mio.</w:t>
      </w:r>
      <w:r>
        <w:rPr>
          <w:sz w:val="20"/>
        </w:rPr>
        <w:tab/>
      </w:r>
      <w:r>
        <w:rPr>
          <w:sz w:val="20"/>
        </w:rPr>
        <w:tab/>
      </w:r>
      <w:r>
        <w:rPr>
          <w:sz w:val="20"/>
        </w:rPr>
        <w:t>2,9</w:t>
      </w:r>
      <w:r>
        <w:rPr>
          <w:sz w:val="20"/>
        </w:rPr>
        <w:t xml:space="preserve"> Mio.</w:t>
      </w:r>
      <w:r>
        <w:rPr>
          <w:sz w:val="20"/>
        </w:rPr>
        <w:tab/>
      </w:r>
      <w:r>
        <w:rPr>
          <w:sz w:val="20"/>
        </w:rPr>
        <w:t xml:space="preserve">     </w:t>
      </w:r>
      <w:r>
        <w:rPr>
          <w:sz w:val="20"/>
        </w:rPr>
        <w:t xml:space="preserve"> </w:t>
      </w:r>
      <w:r>
        <w:rPr>
          <w:sz w:val="20"/>
        </w:rPr>
        <w:t xml:space="preserve">   3</w:t>
      </w:r>
      <w:r>
        <w:rPr>
          <w:sz w:val="20"/>
        </w:rPr>
        <w:t>0</w:t>
      </w:r>
      <w:r>
        <w:rPr>
          <w:sz w:val="20"/>
        </w:rPr>
        <w:t>,5</w:t>
      </w:r>
      <w:r>
        <w:rPr>
          <w:sz w:val="20"/>
        </w:rPr>
        <w:t>6</w:t>
      </w:r>
      <w:r>
        <w:rPr>
          <w:sz w:val="20"/>
        </w:rPr>
        <w:t xml:space="preserve"> Mio.</w:t>
      </w:r>
      <w:r>
        <w:rPr>
          <w:sz w:val="20"/>
        </w:rPr>
        <w:t>*</w:t>
      </w:r>
      <w:r>
        <w:rPr>
          <w:sz w:val="20"/>
        </w:rPr>
        <w:tab/>
      </w:r>
      <w:r>
        <w:rPr>
          <w:sz w:val="20"/>
        </w:rPr>
        <w:t xml:space="preserve"> </w:t>
      </w:r>
      <w:r>
        <w:rPr>
          <w:sz w:val="20"/>
        </w:rPr>
        <w:t>6,62 Mio.</w:t>
      </w:r>
    </w:p>
    <w:p w:rsidR="0044692B" w:rsidRDefault="006B2983" w:rsidP="0044692B">
      <w:pPr>
        <w:pStyle w:val="Textkrper"/>
        <w:spacing w:after="0"/>
        <w:rPr>
          <w:sz w:val="20"/>
        </w:rPr>
      </w:pPr>
      <w:r>
        <w:rPr>
          <w:sz w:val="20"/>
        </w:rPr>
        <w:t xml:space="preserve"> </w:t>
      </w:r>
      <w:r>
        <w:rPr>
          <w:sz w:val="20"/>
        </w:rPr>
        <w:t xml:space="preserve">  </w:t>
      </w:r>
      <w:r w:rsidRPr="000C110A">
        <w:rPr>
          <w:sz w:val="20"/>
        </w:rPr>
        <w:t>in</w:t>
      </w:r>
      <w:r>
        <w:rPr>
          <w:sz w:val="20"/>
        </w:rPr>
        <w:t xml:space="preserve"> Hergiswil</w:t>
      </w:r>
      <w:r>
        <w:rPr>
          <w:sz w:val="20"/>
        </w:rPr>
        <w:tab/>
      </w:r>
    </w:p>
    <w:p w:rsidR="00A64D19" w:rsidRDefault="006B2983" w:rsidP="0044692B">
      <w:pPr>
        <w:pStyle w:val="Textkrper"/>
        <w:spacing w:after="0"/>
        <w:rPr>
          <w:sz w:val="20"/>
        </w:rPr>
      </w:pPr>
    </w:p>
    <w:p w:rsidR="00AD2244" w:rsidRDefault="006B2983" w:rsidP="008D7C61">
      <w:pPr>
        <w:pStyle w:val="Textkrper"/>
        <w:spacing w:after="0"/>
        <w:jc w:val="left"/>
        <w:rPr>
          <w:sz w:val="20"/>
        </w:rPr>
      </w:pPr>
      <w:r>
        <w:rPr>
          <w:sz w:val="20"/>
        </w:rPr>
        <w:t>5.Bescheunigungs-</w:t>
      </w:r>
      <w:r>
        <w:rPr>
          <w:sz w:val="20"/>
        </w:rPr>
        <w:tab/>
        <w:t xml:space="preserve"> </w:t>
      </w:r>
      <w:r w:rsidRPr="008D7C61">
        <w:rPr>
          <w:sz w:val="20"/>
          <w:u w:val="single"/>
        </w:rPr>
        <w:t>_____ _4 Mio   _</w:t>
      </w:r>
      <w:r>
        <w:rPr>
          <w:sz w:val="20"/>
          <w:u w:val="single"/>
        </w:rPr>
        <w:tab/>
        <w:t xml:space="preserve"> </w:t>
      </w:r>
      <w:r w:rsidRPr="008D7C61">
        <w:rPr>
          <w:sz w:val="20"/>
          <w:u w:val="single"/>
        </w:rPr>
        <w:t>1,5</w:t>
      </w:r>
      <w:r>
        <w:rPr>
          <w:sz w:val="20"/>
          <w:u w:val="single"/>
        </w:rPr>
        <w:t>3</w:t>
      </w:r>
      <w:r>
        <w:rPr>
          <w:sz w:val="20"/>
          <w:u w:val="single"/>
        </w:rPr>
        <w:t xml:space="preserve"> </w:t>
      </w:r>
      <w:r w:rsidRPr="008D7C61">
        <w:rPr>
          <w:sz w:val="20"/>
          <w:u w:val="single"/>
        </w:rPr>
        <w:t>Mio.</w:t>
      </w:r>
      <w:r w:rsidRPr="008D7C61">
        <w:rPr>
          <w:sz w:val="20"/>
          <w:u w:val="single"/>
        </w:rPr>
        <w:t>_ ____</w:t>
      </w:r>
      <w:r>
        <w:rPr>
          <w:sz w:val="20"/>
          <w:u w:val="single"/>
        </w:rPr>
        <w:t xml:space="preserve"> </w:t>
      </w:r>
      <w:r w:rsidRPr="008D7C61">
        <w:rPr>
          <w:sz w:val="20"/>
          <w:u w:val="single"/>
        </w:rPr>
        <w:t>_</w:t>
      </w:r>
      <w:r>
        <w:rPr>
          <w:sz w:val="20"/>
          <w:u w:val="single"/>
        </w:rPr>
        <w:t xml:space="preserve"> </w:t>
      </w:r>
      <w:r w:rsidRPr="008D7C61">
        <w:rPr>
          <w:sz w:val="20"/>
          <w:u w:val="single"/>
        </w:rPr>
        <w:t>___</w:t>
      </w:r>
      <w:r>
        <w:rPr>
          <w:sz w:val="20"/>
          <w:u w:val="single"/>
        </w:rPr>
        <w:t>4,45 Mio.</w:t>
      </w:r>
      <w:r w:rsidRPr="008D7C61">
        <w:rPr>
          <w:sz w:val="20"/>
          <w:u w:val="single"/>
        </w:rPr>
        <w:t>__</w:t>
      </w:r>
      <w:r>
        <w:rPr>
          <w:sz w:val="20"/>
          <w:u w:val="single"/>
        </w:rPr>
        <w:t xml:space="preserve">         1,73 Mio.</w:t>
      </w:r>
      <w:r w:rsidRPr="008D7C61">
        <w:rPr>
          <w:sz w:val="20"/>
          <w:u w:val="single"/>
        </w:rPr>
        <w:t>_</w:t>
      </w:r>
    </w:p>
    <w:p w:rsidR="00AD2244" w:rsidRDefault="006B2983" w:rsidP="00AD2244">
      <w:pPr>
        <w:pStyle w:val="Textkrper"/>
        <w:rPr>
          <w:sz w:val="20"/>
        </w:rPr>
      </w:pPr>
      <w:r>
        <w:rPr>
          <w:b/>
          <w:sz w:val="20"/>
        </w:rPr>
        <w:t xml:space="preserve">   </w:t>
      </w:r>
      <w:r>
        <w:rPr>
          <w:sz w:val="20"/>
        </w:rPr>
        <w:t>mass</w:t>
      </w:r>
      <w:r w:rsidRPr="00390917">
        <w:rPr>
          <w:sz w:val="20"/>
        </w:rPr>
        <w:t>nahmen</w:t>
      </w:r>
      <w:r>
        <w:rPr>
          <w:b/>
          <w:sz w:val="20"/>
        </w:rPr>
        <w:tab/>
        <w:t xml:space="preserve">          </w:t>
      </w:r>
      <w:r>
        <w:rPr>
          <w:b/>
          <w:sz w:val="20"/>
        </w:rPr>
        <w:tab/>
        <w:t xml:space="preserve">          </w:t>
      </w:r>
      <w:r w:rsidRPr="000C110A">
        <w:rPr>
          <w:sz w:val="20"/>
        </w:rPr>
        <w:t>250 Mio.</w:t>
      </w:r>
      <w:r>
        <w:rPr>
          <w:sz w:val="20"/>
        </w:rPr>
        <w:tab/>
        <w:t xml:space="preserve">       </w:t>
      </w:r>
      <w:r>
        <w:rPr>
          <w:sz w:val="20"/>
        </w:rPr>
        <w:t xml:space="preserve"> </w:t>
      </w:r>
      <w:r>
        <w:rPr>
          <w:sz w:val="20"/>
        </w:rPr>
        <w:t xml:space="preserve">    </w:t>
      </w:r>
      <w:r>
        <w:rPr>
          <w:sz w:val="20"/>
        </w:rPr>
        <w:t>2</w:t>
      </w:r>
      <w:r>
        <w:rPr>
          <w:sz w:val="20"/>
        </w:rPr>
        <w:t>2</w:t>
      </w:r>
      <w:r>
        <w:rPr>
          <w:sz w:val="20"/>
        </w:rPr>
        <w:t>,</w:t>
      </w:r>
      <w:r>
        <w:rPr>
          <w:sz w:val="20"/>
        </w:rPr>
        <w:t>7</w:t>
      </w:r>
      <w:r>
        <w:rPr>
          <w:sz w:val="20"/>
        </w:rPr>
        <w:t xml:space="preserve">6 Mio. </w:t>
      </w:r>
      <w:r>
        <w:rPr>
          <w:sz w:val="20"/>
        </w:rPr>
        <w:tab/>
        <w:t xml:space="preserve">  </w:t>
      </w:r>
      <w:r>
        <w:rPr>
          <w:sz w:val="20"/>
        </w:rPr>
        <w:t xml:space="preserve"> </w:t>
      </w:r>
      <w:r>
        <w:rPr>
          <w:sz w:val="20"/>
        </w:rPr>
        <w:t xml:space="preserve"> </w:t>
      </w:r>
      <w:r>
        <w:rPr>
          <w:sz w:val="20"/>
        </w:rPr>
        <w:t xml:space="preserve">    </w:t>
      </w:r>
      <w:r>
        <w:rPr>
          <w:sz w:val="20"/>
        </w:rPr>
        <w:t xml:space="preserve">   </w:t>
      </w:r>
      <w:r>
        <w:rPr>
          <w:sz w:val="20"/>
        </w:rPr>
        <w:t xml:space="preserve"> 250 Mio. </w:t>
      </w:r>
      <w:r>
        <w:rPr>
          <w:sz w:val="20"/>
        </w:rPr>
        <w:t xml:space="preserve">  </w:t>
      </w:r>
      <w:r>
        <w:rPr>
          <w:sz w:val="20"/>
        </w:rPr>
        <w:tab/>
        <w:t xml:space="preserve"> 24,1 Mio. </w:t>
      </w:r>
    </w:p>
    <w:p w:rsidR="00F73D27" w:rsidRDefault="006B2983" w:rsidP="00F73D27">
      <w:pPr>
        <w:pStyle w:val="Textkrper"/>
        <w:spacing w:after="0"/>
        <w:rPr>
          <w:sz w:val="20"/>
        </w:rPr>
      </w:pPr>
      <w:r>
        <w:rPr>
          <w:sz w:val="20"/>
        </w:rPr>
        <w:t xml:space="preserve">Zusatzkosten </w:t>
      </w:r>
      <w:r>
        <w:rPr>
          <w:sz w:val="20"/>
        </w:rPr>
        <w:t>für die</w:t>
      </w:r>
      <w:r w:rsidRPr="00EA6B58">
        <w:rPr>
          <w:sz w:val="20"/>
        </w:rPr>
        <w:t xml:space="preserve"> </w:t>
      </w:r>
      <w:r>
        <w:rPr>
          <w:sz w:val="20"/>
        </w:rPr>
        <w:tab/>
        <w:t xml:space="preserve">            10 Mio.</w:t>
      </w:r>
      <w:r>
        <w:rPr>
          <w:sz w:val="20"/>
        </w:rPr>
        <w:tab/>
      </w:r>
      <w:r>
        <w:rPr>
          <w:sz w:val="20"/>
        </w:rPr>
        <w:tab/>
        <w:t xml:space="preserve">  </w:t>
      </w:r>
      <w:r w:rsidRPr="004F4AA3">
        <w:rPr>
          <w:sz w:val="20"/>
        </w:rPr>
        <w:t>6,7 Mio</w:t>
      </w:r>
      <w:r>
        <w:rPr>
          <w:sz w:val="20"/>
        </w:rPr>
        <w:t>.</w:t>
      </w:r>
      <w:r>
        <w:rPr>
          <w:sz w:val="20"/>
        </w:rPr>
        <w:t xml:space="preserve">      </w:t>
      </w:r>
      <w:r>
        <w:rPr>
          <w:sz w:val="20"/>
        </w:rPr>
        <w:tab/>
      </w:r>
      <w:r>
        <w:rPr>
          <w:sz w:val="20"/>
        </w:rPr>
        <w:tab/>
        <w:t>0</w:t>
      </w:r>
      <w:r>
        <w:rPr>
          <w:sz w:val="20"/>
        </w:rPr>
        <w:tab/>
      </w:r>
      <w:r>
        <w:rPr>
          <w:sz w:val="20"/>
        </w:rPr>
        <w:tab/>
        <w:t xml:space="preserve"> 0</w:t>
      </w:r>
      <w:r>
        <w:rPr>
          <w:sz w:val="20"/>
        </w:rPr>
        <w:tab/>
        <w:t xml:space="preserve"> </w:t>
      </w:r>
    </w:p>
    <w:p w:rsidR="00F73D27" w:rsidRDefault="006B2983" w:rsidP="00F73D27">
      <w:pPr>
        <w:pStyle w:val="Textkrper"/>
        <w:spacing w:after="0"/>
        <w:rPr>
          <w:sz w:val="16"/>
          <w:szCs w:val="16"/>
        </w:rPr>
      </w:pPr>
      <w:r>
        <w:rPr>
          <w:sz w:val="20"/>
        </w:rPr>
        <w:t>gestreckte Linienführung</w:t>
      </w:r>
      <w:r>
        <w:rPr>
          <w:sz w:val="20"/>
        </w:rPr>
        <w:tab/>
      </w:r>
    </w:p>
    <w:p w:rsidR="00F73D27" w:rsidRDefault="006B2983" w:rsidP="00F73D27">
      <w:pPr>
        <w:pStyle w:val="Textkrper"/>
        <w:spacing w:after="0"/>
        <w:rPr>
          <w:sz w:val="16"/>
          <w:szCs w:val="16"/>
        </w:rPr>
      </w:pPr>
    </w:p>
    <w:p w:rsidR="00F73D27" w:rsidRPr="00F73D27" w:rsidRDefault="006B2983" w:rsidP="00F73D27">
      <w:pPr>
        <w:pStyle w:val="Textkrper"/>
        <w:rPr>
          <w:b/>
          <w:sz w:val="20"/>
        </w:rPr>
      </w:pPr>
      <w:r w:rsidRPr="00F73D27">
        <w:rPr>
          <w:b/>
          <w:sz w:val="20"/>
        </w:rPr>
        <w:t>Total Nidwalden :</w:t>
      </w:r>
      <w:r w:rsidRPr="00F73D27">
        <w:rPr>
          <w:b/>
          <w:sz w:val="20"/>
        </w:rPr>
        <w:tab/>
      </w:r>
      <w:r w:rsidRPr="00F73D27">
        <w:rPr>
          <w:b/>
          <w:sz w:val="20"/>
        </w:rPr>
        <w:tab/>
      </w:r>
      <w:r w:rsidRPr="00F73D27">
        <w:rPr>
          <w:b/>
          <w:sz w:val="20"/>
        </w:rPr>
        <w:tab/>
      </w:r>
      <w:r w:rsidRPr="00F73D27">
        <w:rPr>
          <w:b/>
          <w:sz w:val="20"/>
        </w:rPr>
        <w:tab/>
        <w:t>29,46 Mio.</w:t>
      </w:r>
      <w:r w:rsidRPr="00F73D27">
        <w:rPr>
          <w:b/>
          <w:sz w:val="20"/>
        </w:rPr>
        <w:tab/>
      </w:r>
      <w:r w:rsidRPr="00F73D27">
        <w:rPr>
          <w:b/>
          <w:sz w:val="20"/>
        </w:rPr>
        <w:tab/>
      </w:r>
      <w:r w:rsidRPr="00F73D27">
        <w:rPr>
          <w:b/>
          <w:sz w:val="20"/>
        </w:rPr>
        <w:tab/>
      </w:r>
      <w:r w:rsidRPr="00F73D27">
        <w:rPr>
          <w:b/>
          <w:sz w:val="20"/>
        </w:rPr>
        <w:tab/>
        <w:t>24,1 Mio.</w:t>
      </w:r>
    </w:p>
    <w:p w:rsidR="00AD2244" w:rsidRDefault="006B2983" w:rsidP="00F73D27">
      <w:pPr>
        <w:pStyle w:val="Textkrper"/>
        <w:spacing w:after="0"/>
        <w:rPr>
          <w:sz w:val="16"/>
          <w:szCs w:val="16"/>
        </w:rPr>
      </w:pPr>
      <w:r>
        <w:rPr>
          <w:sz w:val="16"/>
          <w:szCs w:val="16"/>
        </w:rPr>
        <w:t xml:space="preserve">Angaben der Projektleitung in CHF </w:t>
      </w:r>
    </w:p>
    <w:p w:rsidR="00F73D27" w:rsidRPr="00A64D19" w:rsidRDefault="006B2983">
      <w:pPr>
        <w:pStyle w:val="Textkrper"/>
        <w:rPr>
          <w:sz w:val="16"/>
          <w:szCs w:val="16"/>
        </w:rPr>
      </w:pPr>
      <w:r>
        <w:rPr>
          <w:sz w:val="16"/>
          <w:szCs w:val="16"/>
        </w:rPr>
        <w:t>* = Kosten inklusive aufgelaufenen Planungskosten</w:t>
      </w:r>
      <w:r>
        <w:rPr>
          <w:sz w:val="16"/>
          <w:szCs w:val="16"/>
        </w:rPr>
        <w:t xml:space="preserve"> der Doppelspur Hergiswil</w:t>
      </w:r>
      <w:r>
        <w:rPr>
          <w:sz w:val="16"/>
          <w:szCs w:val="16"/>
        </w:rPr>
        <w:t xml:space="preserve"> und Reserven aus </w:t>
      </w:r>
      <w:r>
        <w:rPr>
          <w:sz w:val="16"/>
          <w:szCs w:val="16"/>
        </w:rPr>
        <w:t>d</w:t>
      </w:r>
      <w:r>
        <w:rPr>
          <w:sz w:val="16"/>
          <w:szCs w:val="16"/>
        </w:rPr>
        <w:t xml:space="preserve">em </w:t>
      </w:r>
      <w:r>
        <w:rPr>
          <w:sz w:val="16"/>
          <w:szCs w:val="16"/>
        </w:rPr>
        <w:t>Gesamtprojekt.</w:t>
      </w:r>
    </w:p>
    <w:p w:rsidR="00935750" w:rsidRDefault="006B2983">
      <w:pPr>
        <w:pStyle w:val="Textkrper"/>
      </w:pPr>
      <w:r>
        <w:t>Bei der Vergabe der Arbeiten für die Tieflegung und den Doppelspurausbau der zb unter der Luzerner Allmend ergab sich ein Vergabeerfolg.</w:t>
      </w:r>
      <w:r w:rsidRPr="001478B2">
        <w:t xml:space="preserve"> </w:t>
      </w:r>
      <w:r>
        <w:t xml:space="preserve">Diese Minderkosten bei der Vergabe der Aufträge erlauben es, die Mehrkosten für die Doppelspur Hergiswil zu kompensieren. </w:t>
      </w:r>
      <w:r>
        <w:t xml:space="preserve">Die Mehrkosten fallen bei der Doppelspur </w:t>
      </w:r>
      <w:r>
        <w:t xml:space="preserve">in </w:t>
      </w:r>
      <w:r>
        <w:t>Hergiswil an. Aufgrund des Nutzens hat hier der Kanton Nidwalden die grösste finanzielle B</w:t>
      </w:r>
      <w:r>
        <w:t xml:space="preserve">eteiligung. Auf den Bau der Doppelspur Hergiswil soll langfristig nicht verzichtet werden. Es macht deshalb </w:t>
      </w:r>
      <w:r>
        <w:t>S</w:t>
      </w:r>
      <w:r>
        <w:t>in</w:t>
      </w:r>
      <w:r>
        <w:t>n</w:t>
      </w:r>
      <w:r>
        <w:t>, die Mittel für das Auflagepr</w:t>
      </w:r>
      <w:r>
        <w:t>o</w:t>
      </w:r>
      <w:r>
        <w:t xml:space="preserve">jekt </w:t>
      </w:r>
      <w:r>
        <w:t>zu sichern und die</w:t>
      </w:r>
      <w:r>
        <w:t xml:space="preserve"> Finanzierungspartner weiterhin a</w:t>
      </w:r>
      <w:r>
        <w:t xml:space="preserve">m </w:t>
      </w:r>
      <w:r>
        <w:t xml:space="preserve">Doppelspurausbau in Hergiswil </w:t>
      </w:r>
      <w:r>
        <w:t xml:space="preserve">finanziell mit zu </w:t>
      </w:r>
      <w:r>
        <w:t>beteili</w:t>
      </w:r>
      <w:r>
        <w:t>gen.</w:t>
      </w:r>
      <w:r>
        <w:t xml:space="preserve"> Die Art und Weise dieser Beteiligung ist Gegenstand kommender Gespräche mit dem BAV. Sollten aufgrund dieser Gespräche mehr Mittel als bisher vom Landrat für den Doppelspurausbau in Hergiswil (Projektänderung) gesprochen wurden, no</w:t>
      </w:r>
      <w:r>
        <w:t>t</w:t>
      </w:r>
      <w:r>
        <w:t>wendig sein, wird e</w:t>
      </w:r>
      <w:r>
        <w:t xml:space="preserve">in entsprechender Landratsbeschluss vorgelegt.  </w:t>
      </w:r>
    </w:p>
    <w:p w:rsidR="00D440D9" w:rsidRDefault="006B2983">
      <w:pPr>
        <w:pStyle w:val="Textkrper"/>
      </w:pPr>
      <w:r>
        <w:t>3.</w:t>
      </w:r>
      <w:r>
        <w:br/>
      </w:r>
      <w:r>
        <w:t>Das Entscheid</w:t>
      </w:r>
      <w:r>
        <w:t>p</w:t>
      </w:r>
      <w:r>
        <w:t>apier zum Kostenteiler Doppelspur Hergiswil Schlüssel-Matt stellt für Nidwa</w:t>
      </w:r>
      <w:r>
        <w:t>l</w:t>
      </w:r>
      <w:r>
        <w:t>den Mehrkosten in der Höhe von 1,2 Millionen in Aussicht. Damit wird der Betrag</w:t>
      </w:r>
      <w:r>
        <w:t>,</w:t>
      </w:r>
      <w:r>
        <w:t xml:space="preserve"> welcher der Landrat </w:t>
      </w:r>
      <w:r>
        <w:t>gesprochen ha</w:t>
      </w:r>
      <w:r>
        <w:t>tte</w:t>
      </w:r>
      <w:r>
        <w:t>,</w:t>
      </w:r>
      <w:r>
        <w:t xml:space="preserve"> überschritten.</w:t>
      </w:r>
      <w:r>
        <w:t xml:space="preserve"> Im Mitbericht der Finanzdirektion zum vorli</w:t>
      </w:r>
      <w:r>
        <w:t>e</w:t>
      </w:r>
      <w:r>
        <w:t>genden Geschäft wird dazu festgehalten, dass für den Mehrbetrag kein bewilligter Kredit zur Verfügung steht und daher ein Zusatzkredit durch den Landrat erforderlich ist.</w:t>
      </w:r>
    </w:p>
    <w:p w:rsidR="006123FD" w:rsidRDefault="006B2983">
      <w:pPr>
        <w:pStyle w:val="Textkrper"/>
      </w:pPr>
      <w:r>
        <w:t>In Ziffer 3</w:t>
      </w:r>
      <w:r>
        <w:t xml:space="preserve"> </w:t>
      </w:r>
      <w:r>
        <w:t>dieses vo</w:t>
      </w:r>
      <w:r>
        <w:t>rerwähnten Landratsbeschlusses</w:t>
      </w:r>
      <w:r>
        <w:t xml:space="preserve"> wird festgehalten, dass die Bewilligung allfälliger Zusatzkredite für Mehrkosten</w:t>
      </w:r>
      <w:r>
        <w:t>,</w:t>
      </w:r>
      <w:r>
        <w:t xml:space="preserve"> die auf die Teuerung oder auf ausserordentliche nicht voraussehbare Umstände zurückzuführen</w:t>
      </w:r>
      <w:r>
        <w:t xml:space="preserve"> sind, </w:t>
      </w:r>
      <w:r>
        <w:t>durch den Regierungsrat erfolg</w:t>
      </w:r>
      <w:r>
        <w:t>en kö</w:t>
      </w:r>
      <w:r>
        <w:t>n</w:t>
      </w:r>
      <w:r>
        <w:t>nen</w:t>
      </w:r>
      <w:r>
        <w:t>.</w:t>
      </w:r>
      <w:r>
        <w:t xml:space="preserve"> </w:t>
      </w:r>
      <w:r>
        <w:t xml:space="preserve">Der </w:t>
      </w:r>
      <w:r>
        <w:t xml:space="preserve">Regierungsrat </w:t>
      </w:r>
      <w:r>
        <w:t>stellt sich auf den Standpunkt, dass</w:t>
      </w:r>
      <w:r>
        <w:t xml:space="preserve"> i</w:t>
      </w:r>
      <w:r>
        <w:t>m vorliegenden Fall auf diese</w:t>
      </w:r>
      <w:r>
        <w:t xml:space="preserve"> Ziffer</w:t>
      </w:r>
      <w:r>
        <w:t xml:space="preserve"> Bezug genommen werden</w:t>
      </w:r>
      <w:r>
        <w:t xml:space="preserve"> kann</w:t>
      </w:r>
      <w:r>
        <w:t>. Die Mehrkosten der Doppelspur Hergiswil Schlüssel-Matt sind auf die schwierigen Verhältnisse bei der Querung von zwei Bächen (Naturgefahren</w:t>
      </w:r>
      <w:r>
        <w:t xml:space="preserve"> </w:t>
      </w:r>
      <w:r>
        <w:lastRenderedPageBreak/>
        <w:t>und Hochwasserschutz) zurückzuführen. Die</w:t>
      </w:r>
      <w:r>
        <w:t xml:space="preserve"> Auswirkungen der </w:t>
      </w:r>
      <w:r>
        <w:t xml:space="preserve">Schwierigkeiten waren zum Zeitpunkt des Landratsbeschlusses noch nicht bekannt. Dies weil die </w:t>
      </w:r>
      <w:r>
        <w:t>konkret</w:t>
      </w:r>
      <w:r>
        <w:t xml:space="preserve">en Planungen noch </w:t>
      </w:r>
      <w:r>
        <w:t>zu wenig weit fortgeschritten waren</w:t>
      </w:r>
      <w:r>
        <w:t>. Die nun auftretenden Mehrkosten waren so</w:t>
      </w:r>
      <w:r>
        <w:t>mit nicht voraussehbar und sind ausserordentlich. Aufgru</w:t>
      </w:r>
      <w:r>
        <w:t>nd dieser Einschätzung geht der Regi</w:t>
      </w:r>
      <w:r>
        <w:t>e</w:t>
      </w:r>
      <w:r>
        <w:t xml:space="preserve">rungsrat </w:t>
      </w:r>
      <w:r>
        <w:t>davon aus, dass die Mehrkosten</w:t>
      </w:r>
      <w:r>
        <w:t>,</w:t>
      </w:r>
      <w:r>
        <w:t xml:space="preserve"> </w:t>
      </w:r>
      <w:r>
        <w:t xml:space="preserve">welche durch den Doppelspurausbau Hergiswil Schlüssel-Matt verursacht wurden, </w:t>
      </w:r>
      <w:r>
        <w:t xml:space="preserve">durch den Regierungsrat </w:t>
      </w:r>
      <w:r>
        <w:t>aufgrund dieser Komp</w:t>
      </w:r>
      <w:r>
        <w:t>etenzb</w:t>
      </w:r>
      <w:r>
        <w:t>e</w:t>
      </w:r>
      <w:r>
        <w:t xml:space="preserve">stimmung </w:t>
      </w:r>
      <w:r>
        <w:t xml:space="preserve">beschlossen werden können. </w:t>
      </w:r>
      <w:r>
        <w:t>Mehrkosten bei</w:t>
      </w:r>
      <w:r>
        <w:t>m</w:t>
      </w:r>
      <w:r>
        <w:t xml:space="preserve"> </w:t>
      </w:r>
      <w:r>
        <w:t xml:space="preserve">Total </w:t>
      </w:r>
      <w:r>
        <w:t>alle</w:t>
      </w:r>
      <w:r>
        <w:t>r</w:t>
      </w:r>
      <w:r>
        <w:t xml:space="preserve"> übrigen Teilprojekten sind </w:t>
      </w:r>
      <w:r>
        <w:t>aufgrund</w:t>
      </w:r>
      <w:r>
        <w:t xml:space="preserve"> der Endkostenpr</w:t>
      </w:r>
      <w:r>
        <w:t>o</w:t>
      </w:r>
      <w:r>
        <w:t xml:space="preserve">gnose nicht zu erwarten. </w:t>
      </w:r>
      <w:r>
        <w:t xml:space="preserve"> </w:t>
      </w:r>
    </w:p>
    <w:p w:rsidR="003E2E41" w:rsidRDefault="006B2983">
      <w:pPr>
        <w:pStyle w:val="berschrift1"/>
      </w:pPr>
      <w:r>
        <w:t>Beschluss</w:t>
      </w:r>
    </w:p>
    <w:p w:rsidR="003E2E41" w:rsidRDefault="006B2983">
      <w:pPr>
        <w:pStyle w:val="Nummeriert"/>
        <w:numPr>
          <w:ilvl w:val="0"/>
          <w:numId w:val="2"/>
        </w:numPr>
      </w:pPr>
      <w:r>
        <w:t xml:space="preserve">Der Regierungsrat nimmt vom Kostenteiler für die Doppelspur Hergiswil Schlüssel-Matt Kenntnis. </w:t>
      </w:r>
    </w:p>
    <w:p w:rsidR="00D8038B" w:rsidRDefault="006B2983">
      <w:pPr>
        <w:pStyle w:val="Nummeriert"/>
        <w:numPr>
          <w:ilvl w:val="0"/>
          <w:numId w:val="2"/>
        </w:numPr>
      </w:pPr>
      <w:r>
        <w:t>Die Baudirektion wird beauftragt nach Vorliegen der Schlussabrechnung für die Ausba</w:t>
      </w:r>
      <w:r>
        <w:t>u</w:t>
      </w:r>
      <w:r>
        <w:t xml:space="preserve">ten der zb in den Kantonen Luzern, Ob- und Nidwalden dem Regierungsrat </w:t>
      </w:r>
      <w:r>
        <w:t>den Regi</w:t>
      </w:r>
      <w:r>
        <w:t>e</w:t>
      </w:r>
      <w:r>
        <w:t>rungsrat über das weitere Vorgehen im Sinne der Erwägungen zu informieren.</w:t>
      </w:r>
      <w:r>
        <w:t xml:space="preserve"> </w:t>
      </w:r>
    </w:p>
    <w:p w:rsidR="003E2E41" w:rsidRDefault="006B2983">
      <w:pPr>
        <w:pStyle w:val="Verteilertitel"/>
      </w:pPr>
      <w:r>
        <w:t>Mitteilung durch</w:t>
      </w:r>
      <w:r>
        <w:t xml:space="preserve"> Protokollauszug an:</w:t>
      </w:r>
    </w:p>
    <w:p w:rsidR="003E2E41" w:rsidRDefault="006B2983">
      <w:pPr>
        <w:pStyle w:val="Verteiler"/>
        <w:numPr>
          <w:ilvl w:val="0"/>
          <w:numId w:val="3"/>
        </w:numPr>
        <w:ind w:left="284" w:hanging="284"/>
      </w:pPr>
      <w:r>
        <w:t>Baudirektion</w:t>
      </w:r>
    </w:p>
    <w:p w:rsidR="00D43661" w:rsidRDefault="006B2983">
      <w:pPr>
        <w:pStyle w:val="Verteiler"/>
        <w:numPr>
          <w:ilvl w:val="0"/>
          <w:numId w:val="3"/>
        </w:numPr>
        <w:ind w:left="284" w:hanging="284"/>
      </w:pPr>
      <w:r>
        <w:t>Finanzdirektion</w:t>
      </w:r>
    </w:p>
    <w:p w:rsidR="00D43661" w:rsidRDefault="006B2983">
      <w:pPr>
        <w:pStyle w:val="Verteiler"/>
        <w:numPr>
          <w:ilvl w:val="0"/>
          <w:numId w:val="3"/>
        </w:numPr>
        <w:ind w:left="284" w:hanging="284"/>
      </w:pPr>
      <w:r>
        <w:t>Direktionssekretariat Baudirektion</w:t>
      </w:r>
    </w:p>
    <w:p w:rsidR="00D43661" w:rsidRDefault="006B2983">
      <w:pPr>
        <w:pStyle w:val="Verteiler"/>
        <w:numPr>
          <w:ilvl w:val="0"/>
          <w:numId w:val="3"/>
        </w:numPr>
        <w:ind w:left="284" w:hanging="284"/>
      </w:pPr>
      <w:r>
        <w:t>Fachstelle öV und Projektentwicklung</w:t>
      </w:r>
    </w:p>
    <w:p w:rsidR="00D43661" w:rsidRDefault="006B2983">
      <w:pPr>
        <w:pStyle w:val="Verteiler"/>
        <w:numPr>
          <w:ilvl w:val="0"/>
          <w:numId w:val="3"/>
        </w:numPr>
        <w:ind w:left="284" w:hanging="284"/>
      </w:pPr>
      <w:r>
        <w:t>Finanzverwaltung</w:t>
      </w:r>
    </w:p>
    <w:p w:rsidR="005B54FC" w:rsidRDefault="006B2983">
      <w:pPr>
        <w:pStyle w:val="Verteiler"/>
        <w:numPr>
          <w:ilvl w:val="0"/>
          <w:numId w:val="3"/>
        </w:numPr>
        <w:ind w:left="284" w:hanging="284"/>
      </w:pPr>
      <w:r>
        <w:t>Finanzkontrolle</w:t>
      </w:r>
    </w:p>
    <w:p w:rsidR="00C81C09" w:rsidRPr="005113DC" w:rsidRDefault="006B2983">
      <w:pPr>
        <w:pStyle w:val="Unterschrift"/>
        <w:rPr>
          <w:sz w:val="16"/>
          <w:szCs w:val="16"/>
        </w:rPr>
      </w:pPr>
      <w:r w:rsidRPr="005113DC">
        <w:rPr>
          <w:sz w:val="16"/>
          <w:szCs w:val="16"/>
        </w:rPr>
        <w:t>NWBD.255</w:t>
      </w:r>
    </w:p>
    <w:p w:rsidR="005113DC" w:rsidRDefault="006B2983">
      <w:pPr>
        <w:pStyle w:val="Unterschrift"/>
      </w:pPr>
    </w:p>
    <w:p w:rsidR="003E2E41" w:rsidRDefault="00E56709">
      <w:pPr>
        <w:pStyle w:val="Unterschrift"/>
      </w:pPr>
      <w:r>
        <w:rPr>
          <w:noProof/>
          <w:lang w:eastAsia="de-CH"/>
        </w:rPr>
        <w:pict>
          <v:group id="_x0000_s1028" style="position:absolute;margin-left:178.95pt;margin-top:30.4pt;width:196pt;height:99pt;z-index:-251658240" coordorigin="5145,10820" coordsize="3920,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6" o:spid="_x0000_s1026" type="#_x0000_t75" style="position:absolute;left:5145;top:10820;width:2025;height:1980;visibility:visible;mso-wrap-style:square;mso-wrap-distance-left:.00025mm;mso-wrap-distance-top:0;mso-wrap-distance-right:.00025mm;mso-wrap-distance-bottom:0">
              <v:imagedata r:id="rId7" o:title="" gain="109227f" blacklevel="-6554f"/>
            </v:shape>
            <v:shape id="Bild 19" o:spid="_x0000_s1027" type="#_x0000_t75" style="position:absolute;left:7610;top:11361;width:1455;height:705;visibility:visible;mso-wrap-style:square;mso-wrap-distance-left:.00025mm;mso-wrap-distance-top:0;mso-wrap-distance-right:.00025mm;mso-wrap-distance-bottom:0">
              <v:imagedata r:id="rId8" o:title=""/>
            </v:shape>
          </v:group>
        </w:pict>
      </w:r>
      <w:r w:rsidR="006B2983">
        <w:tab/>
        <w:t>REGIERUNGSRAT NIDWALDEN</w:t>
      </w:r>
      <w:r w:rsidR="006B2983">
        <w:br/>
      </w:r>
      <w:r w:rsidR="006B2983">
        <w:br/>
      </w:r>
      <w:r w:rsidR="006B2983">
        <w:tab/>
      </w:r>
      <w:r w:rsidR="006B2983">
        <w:tab/>
        <w:t>Landschreiber</w:t>
      </w:r>
    </w:p>
    <w:p w:rsidR="003E2E41" w:rsidRDefault="006B2983"/>
    <w:sectPr w:rsidR="003E2E41" w:rsidSect="006C67E8">
      <w:headerReference w:type="default" r:id="rId9"/>
      <w:headerReference w:type="first" r:id="rId10"/>
      <w:pgSz w:w="11907" w:h="16840" w:code="9"/>
      <w:pgMar w:top="1134" w:right="1134" w:bottom="1191" w:left="1134" w:header="454" w:footer="720" w:gutter="56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709" w:rsidRDefault="00E56709" w:rsidP="00E56709">
      <w:r>
        <w:separator/>
      </w:r>
    </w:p>
  </w:endnote>
  <w:endnote w:type="continuationSeparator" w:id="0">
    <w:p w:rsidR="00E56709" w:rsidRDefault="00E56709" w:rsidP="00E567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R-TM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ill Sans">
    <w:panose1 w:val="020B06020202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709" w:rsidRDefault="00E56709" w:rsidP="00E56709">
      <w:r>
        <w:separator/>
      </w:r>
    </w:p>
  </w:footnote>
  <w:footnote w:type="continuationSeparator" w:id="0">
    <w:p w:rsidR="00E56709" w:rsidRDefault="00E56709" w:rsidP="00E567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750" w:rsidRDefault="00E56709">
    <w:pPr>
      <w:pStyle w:val="Kopfzeile"/>
    </w:pPr>
    <w:r>
      <w:rPr>
        <w:rStyle w:val="Seitenzahl"/>
      </w:rPr>
      <w:fldChar w:fldCharType="begin"/>
    </w:r>
    <w:r w:rsidR="006B2983">
      <w:rPr>
        <w:rStyle w:val="Seitenzahl"/>
      </w:rPr>
      <w:instrText xml:space="preserve"> PAGE </w:instrText>
    </w:r>
    <w:r>
      <w:rPr>
        <w:rStyle w:val="Seitenzahl"/>
      </w:rPr>
      <w:fldChar w:fldCharType="separate"/>
    </w:r>
    <w:r w:rsidR="006B2983">
      <w:rPr>
        <w:rStyle w:val="Seitenzahl"/>
        <w:noProof/>
      </w:rPr>
      <w:t>4</w:t>
    </w:r>
    <w:r>
      <w:rPr>
        <w:rStyle w:val="Seitenzahl"/>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750" w:rsidRDefault="006B2983">
    <w:pPr>
      <w:pStyle w:val="Kopfzeile"/>
      <w:rPr>
        <w:sz w:val="2"/>
      </w:rPr>
    </w:pPr>
  </w:p>
  <w:tbl>
    <w:tblPr>
      <w:tblW w:w="9072" w:type="dxa"/>
      <w:tblLayout w:type="fixed"/>
      <w:tblCellMar>
        <w:left w:w="0" w:type="dxa"/>
        <w:right w:w="0" w:type="dxa"/>
      </w:tblCellMar>
      <w:tblLook w:val="04A0"/>
    </w:tblPr>
    <w:tblGrid>
      <w:gridCol w:w="896"/>
      <w:gridCol w:w="8176"/>
    </w:tblGrid>
    <w:tr w:rsidR="00E56709" w:rsidTr="004531DA">
      <w:trPr>
        <w:cantSplit/>
        <w:trHeight w:val="196"/>
      </w:trPr>
      <w:tc>
        <w:tcPr>
          <w:tcW w:w="896" w:type="dxa"/>
        </w:tcPr>
        <w:p w:rsidR="00935750" w:rsidRPr="00650B34" w:rsidRDefault="006B2983" w:rsidP="0048260B">
          <w:pPr>
            <w:jc w:val="center"/>
            <w:rPr>
              <w:rFonts w:cs="Tahoma"/>
              <w:noProof/>
              <w:sz w:val="20"/>
              <w:lang w:eastAsia="de-CH"/>
            </w:rPr>
          </w:pPr>
          <w:r>
            <w:rPr>
              <w:rFonts w:cs="Tahoma"/>
              <w:noProof/>
              <w:sz w:val="20"/>
              <w:lang w:eastAsia="de-CH"/>
            </w:rPr>
            <w:drawing>
              <wp:inline distT="0" distB="0" distL="0" distR="0">
                <wp:extent cx="547370" cy="534670"/>
                <wp:effectExtent l="19050" t="0" r="5080" b="0"/>
                <wp:docPr id="204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l="1633" t="1093" r="2177" b="35960"/>
                        <a:stretch>
                          <a:fillRect/>
                        </a:stretch>
                      </pic:blipFill>
                      <pic:spPr bwMode="auto">
                        <a:xfrm>
                          <a:off x="0" y="0"/>
                          <a:ext cx="547370" cy="534670"/>
                        </a:xfrm>
                        <a:prstGeom prst="rect">
                          <a:avLst/>
                        </a:prstGeom>
                        <a:noFill/>
                        <a:ln w="9525">
                          <a:noFill/>
                          <a:miter lim="800000"/>
                        </a:ln>
                      </pic:spPr>
                    </pic:pic>
                  </a:graphicData>
                </a:graphic>
              </wp:inline>
            </w:drawing>
          </w:r>
        </w:p>
      </w:tc>
      <w:tc>
        <w:tcPr>
          <w:tcW w:w="8176" w:type="dxa"/>
          <w:vMerge w:val="restart"/>
        </w:tcPr>
        <w:tbl>
          <w:tblPr>
            <w:tblpPr w:leftFromText="141" w:rightFromText="141" w:vertAnchor="text" w:horzAnchor="margin" w:tblpY="843"/>
            <w:tblOverlap w:val="never"/>
            <w:tblW w:w="8537" w:type="dxa"/>
            <w:tblInd w:w="2" w:type="dxa"/>
            <w:tblBorders>
              <w:top w:val="single" w:sz="2" w:space="0" w:color="000000"/>
            </w:tblBorders>
            <w:tblLayout w:type="fixed"/>
            <w:tblCellMar>
              <w:left w:w="0" w:type="dxa"/>
              <w:right w:w="0" w:type="dxa"/>
            </w:tblCellMar>
            <w:tblLook w:val="04A0"/>
          </w:tblPr>
          <w:tblGrid>
            <w:gridCol w:w="152"/>
            <w:gridCol w:w="2268"/>
            <w:gridCol w:w="158"/>
            <w:gridCol w:w="2264"/>
            <w:gridCol w:w="140"/>
            <w:gridCol w:w="3555"/>
          </w:tblGrid>
          <w:tr w:rsidR="00E56709" w:rsidTr="00C5256B">
            <w:trPr>
              <w:trHeight w:val="284"/>
            </w:trPr>
            <w:tc>
              <w:tcPr>
                <w:tcW w:w="152" w:type="dxa"/>
                <w:tcBorders>
                  <w:top w:val="nil"/>
                </w:tcBorders>
              </w:tcPr>
              <w:p w:rsidR="00935750" w:rsidRPr="00650B34" w:rsidRDefault="006B2983" w:rsidP="00650B34">
                <w:pPr>
                  <w:spacing w:before="60"/>
                  <w:jc w:val="left"/>
                  <w:rPr>
                    <w:rFonts w:ascii="Gill Sans" w:hAnsi="Gill Sans" w:cs="Arial"/>
                    <w:caps/>
                    <w:sz w:val="14"/>
                    <w:szCs w:val="14"/>
                  </w:rPr>
                </w:pPr>
              </w:p>
            </w:tc>
            <w:tc>
              <w:tcPr>
                <w:tcW w:w="2268" w:type="dxa"/>
                <w:tcBorders>
                  <w:top w:val="single" w:sz="2" w:space="0" w:color="000000"/>
                </w:tcBorders>
              </w:tcPr>
              <w:p w:rsidR="00935750" w:rsidRPr="00650B34" w:rsidRDefault="006B2983" w:rsidP="00650B34">
                <w:pPr>
                  <w:spacing w:before="60"/>
                  <w:jc w:val="left"/>
                  <w:rPr>
                    <w:rFonts w:ascii="Gill Sans" w:hAnsi="Gill Sans" w:cs="Arial"/>
                    <w:caps/>
                    <w:sz w:val="14"/>
                    <w:szCs w:val="14"/>
                  </w:rPr>
                </w:pPr>
                <w:r>
                  <w:rPr>
                    <w:rFonts w:ascii="Gill Sans" w:hAnsi="Gill Sans" w:cs="Arial"/>
                    <w:caps/>
                    <w:sz w:val="14"/>
                    <w:szCs w:val="14"/>
                  </w:rPr>
                  <w:t>REGIERUNGSRAT</w:t>
                </w:r>
              </w:p>
            </w:tc>
            <w:tc>
              <w:tcPr>
                <w:tcW w:w="158" w:type="dxa"/>
                <w:tcBorders>
                  <w:top w:val="nil"/>
                </w:tcBorders>
              </w:tcPr>
              <w:p w:rsidR="00935750" w:rsidRPr="00650B34" w:rsidRDefault="006B2983" w:rsidP="00650B34">
                <w:pPr>
                  <w:spacing w:before="60" w:after="60"/>
                  <w:rPr>
                    <w:rFonts w:cs="Tahoma"/>
                  </w:rPr>
                </w:pPr>
              </w:p>
            </w:tc>
            <w:tc>
              <w:tcPr>
                <w:tcW w:w="2264" w:type="dxa"/>
              </w:tcPr>
              <w:p w:rsidR="00935750" w:rsidRPr="00650B34" w:rsidRDefault="006B2983" w:rsidP="00650B34">
                <w:pPr>
                  <w:spacing w:before="60"/>
                  <w:jc w:val="left"/>
                  <w:rPr>
                    <w:rFonts w:ascii="Gill Sans" w:hAnsi="Gill Sans" w:cs="Arial"/>
                    <w:caps/>
                    <w:sz w:val="14"/>
                    <w:szCs w:val="14"/>
                  </w:rPr>
                </w:pPr>
              </w:p>
            </w:tc>
            <w:tc>
              <w:tcPr>
                <w:tcW w:w="140" w:type="dxa"/>
                <w:tcBorders>
                  <w:top w:val="nil"/>
                </w:tcBorders>
              </w:tcPr>
              <w:p w:rsidR="00935750" w:rsidRPr="00650B34" w:rsidRDefault="006B2983" w:rsidP="00650B34">
                <w:pPr>
                  <w:spacing w:before="60" w:after="60"/>
                  <w:rPr>
                    <w:rFonts w:cs="Tahoma"/>
                  </w:rPr>
                </w:pPr>
              </w:p>
            </w:tc>
            <w:tc>
              <w:tcPr>
                <w:tcW w:w="3555" w:type="dxa"/>
              </w:tcPr>
              <w:p w:rsidR="00935750" w:rsidRPr="00650B34" w:rsidRDefault="006B2983" w:rsidP="006759BE">
                <w:pPr>
                  <w:spacing w:before="60"/>
                  <w:jc w:val="left"/>
                  <w:rPr>
                    <w:rFonts w:ascii="Gill Sans" w:hAnsi="Gill Sans" w:cs="Arial"/>
                    <w:sz w:val="14"/>
                    <w:szCs w:val="14"/>
                  </w:rPr>
                </w:pPr>
                <w:r>
                  <w:rPr>
                    <w:rFonts w:ascii="Gill Sans" w:hAnsi="Gill Sans" w:cs="Arial"/>
                    <w:caps/>
                    <w:sz w:val="14"/>
                    <w:szCs w:val="14"/>
                  </w:rPr>
                  <w:t>PROTOKOLLAUSZUG</w:t>
                </w:r>
              </w:p>
            </w:tc>
          </w:tr>
        </w:tbl>
        <w:p w:rsidR="00935750" w:rsidRDefault="006B2983" w:rsidP="00650B34">
          <w:pPr>
            <w:jc w:val="left"/>
            <w:rPr>
              <w:rFonts w:cs="Tahoma"/>
              <w:sz w:val="20"/>
            </w:rPr>
          </w:pPr>
        </w:p>
        <w:p w:rsidR="00935750" w:rsidRPr="0048260B" w:rsidRDefault="006B2983" w:rsidP="0048260B">
          <w:pPr>
            <w:ind w:firstLine="709"/>
            <w:rPr>
              <w:rFonts w:cs="Tahoma"/>
              <w:sz w:val="20"/>
            </w:rPr>
          </w:pPr>
        </w:p>
      </w:tc>
    </w:tr>
    <w:tr w:rsidR="00E56709" w:rsidTr="004531DA">
      <w:trPr>
        <w:cantSplit/>
        <w:trHeight w:val="195"/>
      </w:trPr>
      <w:tc>
        <w:tcPr>
          <w:tcW w:w="896" w:type="dxa"/>
        </w:tcPr>
        <w:p w:rsidR="00935750" w:rsidRPr="00650B34" w:rsidRDefault="006B2983" w:rsidP="00650B34">
          <w:pPr>
            <w:spacing w:before="60"/>
            <w:jc w:val="center"/>
            <w:rPr>
              <w:rFonts w:ascii="Gill Sans" w:hAnsi="Gill Sans" w:cs="Arial"/>
              <w:caps/>
              <w:noProof/>
              <w:sz w:val="14"/>
              <w:szCs w:val="14"/>
              <w:lang w:eastAsia="de-CH"/>
            </w:rPr>
          </w:pPr>
          <w:r w:rsidRPr="00650B34">
            <w:rPr>
              <w:rFonts w:ascii="Gill Sans" w:hAnsi="Gill Sans" w:cs="Arial"/>
              <w:caps/>
              <w:noProof/>
              <w:sz w:val="14"/>
              <w:szCs w:val="14"/>
              <w:lang w:eastAsia="de-CH"/>
            </w:rPr>
            <w:t>Kanton Nidwalden</w:t>
          </w:r>
        </w:p>
      </w:tc>
      <w:tc>
        <w:tcPr>
          <w:tcW w:w="8176" w:type="dxa"/>
          <w:vMerge/>
        </w:tcPr>
        <w:p w:rsidR="00935750" w:rsidRPr="00650B34" w:rsidRDefault="006B2983" w:rsidP="00650B34">
          <w:pPr>
            <w:spacing w:before="60"/>
            <w:jc w:val="left"/>
            <w:rPr>
              <w:rFonts w:ascii="Gill Sans" w:hAnsi="Gill Sans" w:cs="Arial"/>
              <w:caps/>
              <w:sz w:val="14"/>
              <w:szCs w:val="14"/>
            </w:rPr>
          </w:pPr>
        </w:p>
      </w:tc>
    </w:tr>
  </w:tbl>
  <w:p w:rsidR="00935750" w:rsidRPr="00650B34" w:rsidRDefault="006B2983" w:rsidP="00650B34">
    <w:pPr>
      <w:tabs>
        <w:tab w:val="center" w:pos="4536"/>
        <w:tab w:val="right" w:pos="9072"/>
      </w:tabs>
      <w:jc w:val="left"/>
      <w:rPr>
        <w:rFonts w:cs="Tahoma"/>
        <w:sz w:val="20"/>
      </w:rPr>
    </w:pPr>
  </w:p>
  <w:p w:rsidR="00935750" w:rsidRDefault="006B2983">
    <w:pPr>
      <w:pStyle w:val="Kopfzeile"/>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none"/>
      <w:pStyle w:val="berschrift1"/>
      <w:suff w:val="nothing"/>
      <w:lvlText w:val=""/>
      <w:lvlJc w:val="left"/>
    </w:lvl>
    <w:lvl w:ilvl="1">
      <w:start w:val="1"/>
      <w:numFmt w:val="decimal"/>
      <w:pStyle w:val="berschrift2"/>
      <w:lvlText w:val="%2"/>
      <w:legacy w:legacy="1" w:legacySpace="144" w:legacyIndent="0"/>
      <w:lvlJc w:val="left"/>
    </w:lvl>
    <w:lvl w:ilvl="2">
      <w:start w:val="1"/>
      <w:numFmt w:val="decimal"/>
      <w:pStyle w:val="berschrift3"/>
      <w:lvlText w:val="%2.%3"/>
      <w:legacy w:legacy="1" w:legacySpace="144" w:legacyIndent="0"/>
      <w:lvlJc w:val="left"/>
    </w:lvl>
    <w:lvl w:ilvl="3">
      <w:start w:val="1"/>
      <w:numFmt w:val="decimal"/>
      <w:pStyle w:val="berschrift4"/>
      <w:lvlText w:val="%2.%3.%4"/>
      <w:legacy w:legacy="1" w:legacySpace="144" w:legacyIndent="0"/>
      <w:lvlJc w:val="left"/>
    </w:lvl>
    <w:lvl w:ilvl="4">
      <w:start w:val="1"/>
      <w:numFmt w:val="decimal"/>
      <w:pStyle w:val="berschrift5"/>
      <w:lvlText w:val="%2.%3.%4.%5"/>
      <w:legacy w:legacy="1" w:legacySpace="144" w:legacyIndent="0"/>
      <w:lvlJc w:val="left"/>
    </w:lvl>
    <w:lvl w:ilvl="5">
      <w:start w:val="1"/>
      <w:numFmt w:val="decimal"/>
      <w:pStyle w:val="berschrift6"/>
      <w:lvlText w:val="%2.%3.%4.%5.%6"/>
      <w:legacy w:legacy="1" w:legacySpace="144" w:legacyIndent="0"/>
      <w:lvlJc w:val="left"/>
    </w:lvl>
    <w:lvl w:ilvl="6">
      <w:start w:val="1"/>
      <w:numFmt w:val="decimal"/>
      <w:pStyle w:val="berschrift7"/>
      <w:lvlText w:val="%2.%3.%4.%5.%6.%7"/>
      <w:legacy w:legacy="1" w:legacySpace="144" w:legacyIndent="0"/>
      <w:lvlJc w:val="left"/>
    </w:lvl>
    <w:lvl w:ilvl="7">
      <w:start w:val="1"/>
      <w:numFmt w:val="decimal"/>
      <w:pStyle w:val="berschrift8"/>
      <w:lvlText w:val="%2.%3.%4.%5.%6.%7.%8"/>
      <w:legacy w:legacy="1" w:legacySpace="144" w:legacyIndent="0"/>
      <w:lvlJc w:val="left"/>
    </w:lvl>
    <w:lvl w:ilvl="8">
      <w:start w:val="1"/>
      <w:numFmt w:val="decimal"/>
      <w:pStyle w:val="berschrift9"/>
      <w:lvlText w:val="%2.%3.%4.%5.%6.%7.%8.%9"/>
      <w:legacy w:legacy="1" w:legacySpace="144" w:legacyIndent="0"/>
      <w:lvlJc w:val="left"/>
    </w:lvl>
  </w:abstractNum>
  <w:abstractNum w:abstractNumId="1">
    <w:nsid w:val="FFFFFFFE"/>
    <w:multiLevelType w:val="singleLevel"/>
    <w:tmpl w:val="FFFFFFFF"/>
    <w:lvl w:ilvl="0">
      <w:numFmt w:val="decimal"/>
      <w:lvlText w:val="*"/>
      <w:lvlJc w:val="left"/>
    </w:lvl>
  </w:abstractNum>
  <w:abstractNum w:abstractNumId="2">
    <w:nsid w:val="0DBB7329"/>
    <w:multiLevelType w:val="singleLevel"/>
    <w:tmpl w:val="9DB4A8B6"/>
    <w:lvl w:ilvl="0">
      <w:start w:val="1"/>
      <w:numFmt w:val="decimal"/>
      <w:lvlText w:val="%1."/>
      <w:legacy w:legacy="1" w:legacySpace="0" w:legacyIndent="283"/>
      <w:lvlJc w:val="left"/>
      <w:pPr>
        <w:ind w:left="283" w:hanging="283"/>
      </w:pPr>
    </w:lvl>
  </w:abstractNum>
  <w:num w:numId="1">
    <w:abstractNumId w:val="0"/>
  </w:num>
  <w:num w:numId="2">
    <w:abstractNumId w:val="2"/>
  </w:num>
  <w:num w:numId="3">
    <w:abstractNumId w:val="1"/>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doNotTrackMoves/>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MetaTool_Script1_Path" w:val="Dokument"/>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nr = String.Empty;_x000D__x000A__x0009__x0009_Geschaeft ges = (Geschaeft) obj.Geschaeft;_x000D__x000A__x0009__x0009__x000D__x000A__x0009__x0009_if (ges.Signatur != null)_x000D__x000A__x0009__x0009_{_x000D__x000A__x0009__x0009__x0009_nr = ges.Signatur.ToString();_x000D__x000A__x0009__x0009_}_x000D__x000A__x0009__x0009_else_x000D__x000A__x0009__x0009_{_x000D__x000A__x0009__x0009__x0009_nr = ges.Laufnummer.ToString();_x000D__x000A__x0009__x0009_}_x000D__x000A__x0009__x0009__x0009__x000D__x000A_            return nr;_x000D__x000A_       }_x000D__x000A_   }_x000D__x000A_}"/>
    <w:docVar w:name="MetaTool_Script2_Path" w:val="Dokument"/>
    <w:docVar w:name="MetaTool_Script2_Report" w:val="using System;_x000D__x000A_using CMI.MetaTool.Generated;_x000D__x000A_using CMI.DomainModel;_x000D__x000A_namespace CMI.MetaTool.Generated.TemplateScript_x000D__x000A_{_x000D__x000A__x0009_public class TemplateScript_x000D__x000A__x0009_{_x000D__x000A__x0009__x0009_public string Eval(Dokument obj)_x000D__x000A__x0009__x0009_{_x000D__x000A__x0009__x0009__x0009_string titel = String.Empty;_x000D__x000A__x0009__x0009__x0009_if (obj.Unterlagen !=null &amp;&amp; obj.Unterlagen.Length &gt;0)_x000D__x000A__x0009__x0009__x0009_{_x000D__x000A__x0009__x0009__x0009__x0009_foreach (Unterlage unt in obj.Unterlagen)_x000D__x000A__x0009__x0009__x0009__x0009_{_x000D__x000A__x0009__x0009__x0009__x0009__x0009_if (unt.Protokoll ==true)_x000D__x000A__x0009__x0009__x0009__x0009__x0009_{_x000D__x000A__x0009__x0009__x0009__x0009__x0009__x0009_titel = unt.Traktadum.Titel;_x000D__x000A__x0009__x0009__x0009__x0009__x0009_}_x000D__x000A__x0009__x0009__x0009__x0009__x0009_else _x000D__x000A__x0009__x0009__x0009__x0009__x0009_{_x000D__x000A__x0009__x0009__x0009__x0009__x0009__x0009_if (obj.Geschaeft !=null &amp;&amp; obj.Geschaeft.Titel !=null)_x000D__x000A__x0009__x0009__x0009__x0009__x0009__x0009_{_x000D__x000A__x0009__x0009__x0009__x0009__x0009__x0009__x0009_titel = obj.Geschaeft.Titel;_x000D__x000A__x0009__x0009__x0009__x0009__x0009__x0009_}_x000D__x000A__x0009__x0009__x0009__x0009__x0009_}_x000D__x000A__x0009__x0009__x0009__x0009_}_x000D__x000A__x0009__x0009__x0009_}_x000D__x000A__x0009__x0009__x0009_else _x000D__x000A__x0009__x0009__x0009_{_x000D__x000A__x0009__x0009__x0009__x0009__x000D__x000A__x0009__x0009__x0009__x0009_if (obj.Geschaeft != null &amp;&amp; obj.Geschaeft.Titel != null)_x000D__x000A__x0009__x0009__x0009__x0009_{_x000D__x000A__x0009__x0009__x0009__x0009__x0009_titel = obj.Geschaeft.Titel;_x000D__x000A__x0009__x0009__x0009__x0009_}_x000D__x000A__x0009__x0009__x0009__x0009__x000D__x000A__x0009__x0009__x0009_}_x0009__x000D__x000A__x0009__x0009__x0009_return titel;_x000D__x000A__x0009__x0009_}_x000D__x000A__x0009_}_x000D__x000A_} "/>
    <w:docVar w:name="MetaTool_TypeDefinition" w:val="Dokument"/>
  </w:docVars>
  <w:rsids>
    <w:rsidRoot w:val="00E56709"/>
    <w:rsid w:val="006B2983"/>
    <w:rsid w:val="00E56709"/>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R-TMS" w:eastAsia="Times New Roman" w:hAnsi="BR-TMS"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67E8"/>
    <w:pPr>
      <w:jc w:val="both"/>
    </w:pPr>
    <w:rPr>
      <w:rFonts w:ascii="Arial" w:hAnsi="Arial"/>
      <w:sz w:val="22"/>
      <w:lang w:eastAsia="de-DE"/>
    </w:rPr>
  </w:style>
  <w:style w:type="paragraph" w:styleId="berschrift1">
    <w:name w:val="heading 1"/>
    <w:basedOn w:val="Standard"/>
    <w:next w:val="Textkrper"/>
    <w:qFormat/>
    <w:rsid w:val="006C67E8"/>
    <w:pPr>
      <w:keepNext/>
      <w:keepLines/>
      <w:numPr>
        <w:numId w:val="1"/>
      </w:numPr>
      <w:spacing w:before="240" w:after="240"/>
      <w:jc w:val="left"/>
      <w:outlineLvl w:val="0"/>
    </w:pPr>
    <w:rPr>
      <w:b/>
      <w:u w:val="single"/>
    </w:rPr>
  </w:style>
  <w:style w:type="paragraph" w:styleId="berschrift2">
    <w:name w:val="heading 2"/>
    <w:basedOn w:val="berschrift1"/>
    <w:next w:val="Textkrper"/>
    <w:qFormat/>
    <w:rsid w:val="006C67E8"/>
    <w:pPr>
      <w:numPr>
        <w:ilvl w:val="1"/>
      </w:numPr>
      <w:ind w:left="567" w:hanging="567"/>
      <w:outlineLvl w:val="1"/>
    </w:pPr>
    <w:rPr>
      <w:u w:val="none"/>
    </w:rPr>
  </w:style>
  <w:style w:type="paragraph" w:styleId="berschrift3">
    <w:name w:val="heading 3"/>
    <w:basedOn w:val="berschrift2"/>
    <w:next w:val="Textkrper"/>
    <w:qFormat/>
    <w:rsid w:val="006C67E8"/>
    <w:pPr>
      <w:numPr>
        <w:ilvl w:val="2"/>
      </w:numPr>
      <w:spacing w:before="0"/>
      <w:outlineLvl w:val="2"/>
    </w:pPr>
  </w:style>
  <w:style w:type="paragraph" w:styleId="berschrift4">
    <w:name w:val="heading 4"/>
    <w:basedOn w:val="berschrift3"/>
    <w:next w:val="Textkrper"/>
    <w:qFormat/>
    <w:rsid w:val="006C67E8"/>
    <w:pPr>
      <w:numPr>
        <w:ilvl w:val="3"/>
      </w:numPr>
      <w:ind w:left="709" w:hanging="709"/>
      <w:outlineLvl w:val="3"/>
    </w:pPr>
  </w:style>
  <w:style w:type="paragraph" w:styleId="berschrift5">
    <w:name w:val="heading 5"/>
    <w:basedOn w:val="berschrift4"/>
    <w:next w:val="Standard"/>
    <w:qFormat/>
    <w:rsid w:val="006C67E8"/>
    <w:pPr>
      <w:numPr>
        <w:ilvl w:val="4"/>
      </w:numPr>
      <w:outlineLvl w:val="4"/>
    </w:pPr>
  </w:style>
  <w:style w:type="paragraph" w:styleId="berschrift6">
    <w:name w:val="heading 6"/>
    <w:basedOn w:val="Standard"/>
    <w:next w:val="Standard"/>
    <w:qFormat/>
    <w:rsid w:val="006C67E8"/>
    <w:pPr>
      <w:numPr>
        <w:ilvl w:val="5"/>
        <w:numId w:val="1"/>
      </w:numPr>
      <w:spacing w:after="60"/>
      <w:outlineLvl w:val="5"/>
    </w:pPr>
    <w:rPr>
      <w:i/>
    </w:rPr>
  </w:style>
  <w:style w:type="paragraph" w:styleId="berschrift7">
    <w:name w:val="heading 7"/>
    <w:basedOn w:val="Standard"/>
    <w:next w:val="Standard"/>
    <w:qFormat/>
    <w:rsid w:val="006C67E8"/>
    <w:pPr>
      <w:numPr>
        <w:ilvl w:val="6"/>
        <w:numId w:val="1"/>
      </w:numPr>
      <w:spacing w:after="60"/>
      <w:outlineLvl w:val="6"/>
    </w:pPr>
    <w:rPr>
      <w:sz w:val="20"/>
    </w:rPr>
  </w:style>
  <w:style w:type="paragraph" w:styleId="berschrift8">
    <w:name w:val="heading 8"/>
    <w:basedOn w:val="Standard"/>
    <w:next w:val="Standard"/>
    <w:qFormat/>
    <w:rsid w:val="006C67E8"/>
    <w:pPr>
      <w:numPr>
        <w:ilvl w:val="7"/>
        <w:numId w:val="1"/>
      </w:numPr>
      <w:spacing w:after="60"/>
      <w:outlineLvl w:val="7"/>
    </w:pPr>
    <w:rPr>
      <w:i/>
      <w:sz w:val="20"/>
    </w:rPr>
  </w:style>
  <w:style w:type="paragraph" w:styleId="berschrift9">
    <w:name w:val="heading 9"/>
    <w:basedOn w:val="Standard"/>
    <w:next w:val="Standard"/>
    <w:qFormat/>
    <w:rsid w:val="006C67E8"/>
    <w:pPr>
      <w:numPr>
        <w:ilvl w:val="8"/>
        <w:numId w:val="1"/>
      </w:numPr>
      <w:spacing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6C67E8"/>
    <w:pPr>
      <w:spacing w:after="240"/>
    </w:pPr>
  </w:style>
  <w:style w:type="paragraph" w:styleId="Standardeinzug">
    <w:name w:val="Normal Indent"/>
    <w:basedOn w:val="Standard"/>
    <w:semiHidden/>
    <w:rsid w:val="006C67E8"/>
    <w:pPr>
      <w:tabs>
        <w:tab w:val="left" w:pos="432"/>
      </w:tabs>
      <w:ind w:left="432" w:hanging="432"/>
    </w:pPr>
  </w:style>
  <w:style w:type="paragraph" w:customStyle="1" w:styleId="NummerundDatum">
    <w:name w:val="Nummer und Datum"/>
    <w:basedOn w:val="Standard"/>
    <w:next w:val="Rubrum"/>
    <w:rsid w:val="006C67E8"/>
    <w:pPr>
      <w:tabs>
        <w:tab w:val="left" w:pos="5103"/>
      </w:tabs>
      <w:spacing w:before="480"/>
      <w:jc w:val="left"/>
    </w:pPr>
  </w:style>
  <w:style w:type="paragraph" w:customStyle="1" w:styleId="Rubrum">
    <w:name w:val="Rubrum"/>
    <w:basedOn w:val="Standard"/>
    <w:next w:val="Textkrper"/>
    <w:rsid w:val="006C67E8"/>
    <w:pPr>
      <w:spacing w:before="720" w:after="240"/>
      <w:jc w:val="left"/>
    </w:pPr>
  </w:style>
  <w:style w:type="paragraph" w:styleId="Kopfzeile">
    <w:name w:val="header"/>
    <w:basedOn w:val="Standard"/>
    <w:semiHidden/>
    <w:rsid w:val="006C67E8"/>
    <w:pPr>
      <w:jc w:val="center"/>
    </w:pPr>
  </w:style>
  <w:style w:type="paragraph" w:customStyle="1" w:styleId="Gliederung">
    <w:name w:val="Gliederung"/>
    <w:basedOn w:val="Standard"/>
    <w:next w:val="Textkrper"/>
    <w:rsid w:val="006C67E8"/>
    <w:pPr>
      <w:keepNext/>
      <w:keepLines/>
      <w:spacing w:before="240" w:after="240"/>
      <w:jc w:val="left"/>
    </w:pPr>
    <w:rPr>
      <w:b/>
      <w:u w:val="single"/>
    </w:rPr>
  </w:style>
  <w:style w:type="paragraph" w:customStyle="1" w:styleId="Nummeriert">
    <w:name w:val="Nummeriert"/>
    <w:basedOn w:val="Textkrper"/>
    <w:rsid w:val="006C67E8"/>
    <w:pPr>
      <w:ind w:left="283" w:hanging="283"/>
    </w:pPr>
  </w:style>
  <w:style w:type="paragraph" w:customStyle="1" w:styleId="Spiegelstrich">
    <w:name w:val="Spiegelstrich"/>
    <w:basedOn w:val="Textkrper"/>
    <w:rsid w:val="006C67E8"/>
    <w:pPr>
      <w:spacing w:after="0"/>
      <w:ind w:left="284" w:hanging="284"/>
    </w:pPr>
  </w:style>
  <w:style w:type="paragraph" w:styleId="Textkrper-Zeileneinzug">
    <w:name w:val="Body Text Indent"/>
    <w:basedOn w:val="Textkrper"/>
    <w:semiHidden/>
    <w:rsid w:val="006C67E8"/>
    <w:pPr>
      <w:ind w:left="284"/>
    </w:pPr>
  </w:style>
  <w:style w:type="paragraph" w:styleId="Beschriftung">
    <w:name w:val="caption"/>
    <w:basedOn w:val="Standard"/>
    <w:next w:val="Standard"/>
    <w:qFormat/>
    <w:rsid w:val="006C67E8"/>
    <w:pPr>
      <w:spacing w:before="120" w:after="120"/>
    </w:pPr>
    <w:rPr>
      <w:b/>
    </w:rPr>
  </w:style>
  <w:style w:type="paragraph" w:styleId="Fuzeile">
    <w:name w:val="footer"/>
    <w:basedOn w:val="Standard"/>
    <w:semiHidden/>
    <w:rsid w:val="006C67E8"/>
    <w:pPr>
      <w:tabs>
        <w:tab w:val="center" w:pos="4536"/>
        <w:tab w:val="right" w:pos="9072"/>
      </w:tabs>
    </w:pPr>
  </w:style>
  <w:style w:type="character" w:styleId="Seitenzahl">
    <w:name w:val="page number"/>
    <w:basedOn w:val="Absatz-Standardschriftart"/>
    <w:semiHidden/>
    <w:rsid w:val="006C67E8"/>
  </w:style>
  <w:style w:type="paragraph" w:customStyle="1" w:styleId="Verteiler">
    <w:name w:val="Verteiler"/>
    <w:basedOn w:val="Spiegelstrich"/>
    <w:rsid w:val="006C67E8"/>
    <w:pPr>
      <w:jc w:val="left"/>
    </w:pPr>
  </w:style>
  <w:style w:type="paragraph" w:styleId="Unterschrift">
    <w:name w:val="Signature"/>
    <w:basedOn w:val="Standard"/>
    <w:next w:val="Standard"/>
    <w:semiHidden/>
    <w:rsid w:val="006C67E8"/>
    <w:pPr>
      <w:tabs>
        <w:tab w:val="left" w:pos="5103"/>
        <w:tab w:val="left" w:pos="6039"/>
      </w:tabs>
      <w:spacing w:before="240"/>
      <w:jc w:val="left"/>
    </w:pPr>
  </w:style>
  <w:style w:type="paragraph" w:customStyle="1" w:styleId="Verteilertitel">
    <w:name w:val="Verteilertitel"/>
    <w:basedOn w:val="Standard"/>
    <w:next w:val="Verteiler"/>
    <w:rsid w:val="006C67E8"/>
    <w:pPr>
      <w:spacing w:before="240" w:after="120"/>
    </w:pPr>
  </w:style>
  <w:style w:type="paragraph" w:customStyle="1" w:styleId="KantonDirketionAmt">
    <w:name w:val="KantonDirketionAmt"/>
    <w:basedOn w:val="Standard"/>
    <w:rsid w:val="006C67E8"/>
    <w:pPr>
      <w:framePr w:wrap="around" w:vAnchor="page" w:hAnchor="text" w:y="455"/>
      <w:spacing w:line="210" w:lineRule="exact"/>
      <w:jc w:val="center"/>
    </w:pPr>
    <w:rPr>
      <w:rFonts w:ascii="Gill Sans" w:hAnsi="Gill Sans"/>
      <w:caps/>
      <w:sz w:val="21"/>
    </w:rPr>
  </w:style>
  <w:style w:type="paragraph" w:customStyle="1" w:styleId="Zwischentitel">
    <w:name w:val="Zwischentitel"/>
    <w:basedOn w:val="berschrift4"/>
    <w:next w:val="Textkrper"/>
    <w:rsid w:val="006C67E8"/>
    <w:pPr>
      <w:outlineLvl w:val="9"/>
    </w:pPr>
  </w:style>
  <w:style w:type="paragraph" w:customStyle="1" w:styleId="Empfnger">
    <w:name w:val="Empfänger"/>
    <w:basedOn w:val="Standard"/>
    <w:autoRedefine/>
    <w:rsid w:val="00FB626C"/>
    <w:pPr>
      <w:spacing w:before="60"/>
      <w:ind w:right="-100"/>
      <w:jc w:val="left"/>
    </w:pPr>
    <w:rPr>
      <w:rFonts w:ascii="Gill Sans" w:hAnsi="Gill Sans"/>
      <w:caps/>
      <w:noProof/>
      <w:sz w:val="14"/>
      <w:lang w:eastAsia="de-CH"/>
    </w:rPr>
  </w:style>
  <w:style w:type="paragraph" w:customStyle="1" w:styleId="EmpfngerAbsender">
    <w:name w:val="Empfänger Absender"/>
    <w:basedOn w:val="Empfnger"/>
    <w:qFormat/>
    <w:rsid w:val="00FB626C"/>
  </w:style>
  <w:style w:type="paragraph" w:styleId="Sprechblasentext">
    <w:name w:val="Balloon Text"/>
    <w:basedOn w:val="Standard"/>
    <w:link w:val="SprechblasentextZchn"/>
    <w:uiPriority w:val="99"/>
    <w:semiHidden/>
    <w:unhideWhenUsed/>
    <w:rsid w:val="00FF1DB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1DBF"/>
    <w:rPr>
      <w:rFonts w:ascii="Tahoma"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1520</Words>
  <Characters>9579</Characters>
  <Application>Microsoft Office Word</Application>
  <DocSecurity>4</DocSecurity>
  <Lines>79</Lines>
  <Paragraphs>22</Paragraphs>
  <ScaleCrop>false</ScaleCrop>
  <HeadingPairs>
    <vt:vector size="2" baseType="variant">
      <vt:variant>
        <vt:lpstr>Titel</vt:lpstr>
      </vt:variant>
      <vt:variant>
        <vt:i4>1</vt:i4>
      </vt:variant>
    </vt:vector>
  </HeadingPairs>
  <TitlesOfParts>
    <vt:vector size="1" baseType="lpstr">
      <vt:lpstr>Vorlage RRB</vt:lpstr>
    </vt:vector>
  </TitlesOfParts>
  <Company>Kanton Nidwalden</Company>
  <LinksUpToDate>false</LinksUpToDate>
  <CharactersWithSpaces>11077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RRB</dc:title>
  <dc:subject>Kantonale Vorlagen</dc:subject>
  <dc:creator>Jelena Piktija</dc:creator>
  <cp:keywords>Version 2.0 für Office 97</cp:keywords>
  <dc:description>Titel</dc:description>
  <cp:lastModifiedBy>BDNW31</cp:lastModifiedBy>
  <cp:revision>2</cp:revision>
  <cp:lastPrinted>2012-11-05T12:43:00Z</cp:lastPrinted>
  <dcterms:created xsi:type="dcterms:W3CDTF">2014-04-11T09:00:00Z</dcterms:created>
  <dcterms:modified xsi:type="dcterms:W3CDTF">2014-04-11T09:00:00Z</dcterms:modified>
  <cp:category>Word Vorlagen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absender">
    <vt:lpwstr/>
  </property>
  <property fmtid="{D5CDD505-2E9C-101B-9397-08002B2CF9AE}" pid="3" name="absabteilung">
    <vt:lpwstr/>
  </property>
  <property fmtid="{D5CDD505-2E9C-101B-9397-08002B2CF9AE}" pid="4" name="absadresse">
    <vt:lpwstr/>
  </property>
  <property fmtid="{D5CDD505-2E9C-101B-9397-08002B2CF9AE}" pid="5" name="absamt">
    <vt:lpwstr/>
  </property>
  <property fmtid="{D5CDD505-2E9C-101B-9397-08002B2CF9AE}" pid="6" name="absbeilagen">
    <vt:lpwstr/>
  </property>
  <property fmtid="{D5CDD505-2E9C-101B-9397-08002B2CF9AE}" pid="7" name="absdirektion">
    <vt:lpwstr/>
  </property>
  <property fmtid="{D5CDD505-2E9C-101B-9397-08002B2CF9AE}" pid="8" name="absfax">
    <vt:lpwstr/>
  </property>
  <property fmtid="{D5CDD505-2E9C-101B-9397-08002B2CF9AE}" pid="9" name="absfunktion">
    <vt:lpwstr/>
  </property>
  <property fmtid="{D5CDD505-2E9C-101B-9397-08002B2CF9AE}" pid="10" name="absgruss">
    <vt:lpwstr/>
  </property>
  <property fmtid="{D5CDD505-2E9C-101B-9397-08002B2CF9AE}" pid="11" name="absinternet">
    <vt:lpwstr/>
  </property>
  <property fmtid="{D5CDD505-2E9C-101B-9397-08002B2CF9AE}" pid="12" name="absmailamt">
    <vt:lpwstr/>
  </property>
  <property fmtid="{D5CDD505-2E9C-101B-9397-08002B2CF9AE}" pid="13" name="absnamen">
    <vt:lpwstr/>
  </property>
  <property fmtid="{D5CDD505-2E9C-101B-9397-08002B2CF9AE}" pid="14" name="absort">
    <vt:lpwstr/>
  </property>
  <property fmtid="{D5CDD505-2E9C-101B-9397-08002B2CF9AE}" pid="15" name="abspckonto">
    <vt:lpwstr/>
  </property>
  <property fmtid="{D5CDD505-2E9C-101B-9397-08002B2CF9AE}" pid="16" name="abspckonto1">
    <vt:lpwstr/>
  </property>
  <property fmtid="{D5CDD505-2E9C-101B-9397-08002B2CF9AE}" pid="17" name="absstrasse">
    <vt:lpwstr/>
  </property>
  <property fmtid="{D5CDD505-2E9C-101B-9397-08002B2CF9AE}" pid="18" name="abstelefonamt">
    <vt:lpwstr/>
  </property>
  <property fmtid="{D5CDD505-2E9C-101B-9397-08002B2CF9AE}" pid="19" name="Anz_beilage">
    <vt:lpwstr/>
  </property>
  <property fmtid="{D5CDD505-2E9C-101B-9397-08002B2CF9AE}" pid="20" name="betreff">
    <vt:lpwstr/>
  </property>
  <property fmtid="{D5CDD505-2E9C-101B-9397-08002B2CF9AE}" pid="21" name="betreff1">
    <vt:lpwstr/>
  </property>
  <property fmtid="{D5CDD505-2E9C-101B-9397-08002B2CF9AE}" pid="22" name="datumvisum">
    <vt:lpwstr/>
  </property>
  <property fmtid="{D5CDD505-2E9C-101B-9397-08002B2CF9AE}" pid="23" name="empadresse">
    <vt:lpwstr/>
  </property>
  <property fmtid="{D5CDD505-2E9C-101B-9397-08002B2CF9AE}" pid="24" name="empanredeformel">
    <vt:lpwstr/>
  </property>
  <property fmtid="{D5CDD505-2E9C-101B-9397-08002B2CF9AE}" pid="25" name="EmpFaxNr">
    <vt:lpwstr/>
  </property>
  <property fmtid="{D5CDD505-2E9C-101B-9397-08002B2CF9AE}" pid="26" name="feld1">
    <vt:lpwstr/>
  </property>
  <property fmtid="{D5CDD505-2E9C-101B-9397-08002B2CF9AE}" pid="27" name="feld2">
    <vt:lpwstr/>
  </property>
  <property fmtid="{D5CDD505-2E9C-101B-9397-08002B2CF9AE}" pid="28" name="feld3">
    <vt:lpwstr/>
  </property>
  <property fmtid="{D5CDD505-2E9C-101B-9397-08002B2CF9AE}" pid="29" name="feld4">
    <vt:lpwstr/>
  </property>
  <property fmtid="{D5CDD505-2E9C-101B-9397-08002B2CF9AE}" pid="30" name="feld5">
    <vt:lpwstr/>
  </property>
  <property fmtid="{D5CDD505-2E9C-101B-9397-08002B2CF9AE}" pid="31" name="feld6">
    <vt:lpwstr/>
  </property>
  <property fmtid="{D5CDD505-2E9C-101B-9397-08002B2CF9AE}" pid="32" name="grussamt">
    <vt:lpwstr/>
  </property>
  <property fmtid="{D5CDD505-2E9C-101B-9397-08002B2CF9AE}" pid="33" name="Titel">
    <vt:lpwstr/>
  </property>
  <property fmtid="{D5CDD505-2E9C-101B-9397-08002B2CF9AE}" pid="34" name="versand">
    <vt:lpwstr/>
  </property>
</Properties>
</file>