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41" w:rsidRDefault="004057F3" w:rsidP="00EE581F">
      <w:pPr>
        <w:pStyle w:val="Fuzeile"/>
        <w:tabs>
          <w:tab w:val="clear" w:pos="4536"/>
          <w:tab w:val="clear" w:pos="9072"/>
          <w:tab w:val="left" w:pos="5879"/>
        </w:tabs>
        <w:spacing w:before="480"/>
      </w:pPr>
      <w:r>
        <w:t>Nr. 298</w:t>
      </w:r>
      <w:r>
        <w:tab/>
        <w:t>Stans, 24. April 2012</w:t>
      </w:r>
    </w:p>
    <w:p w:rsidR="003E2E41" w:rsidRDefault="004057F3" w:rsidP="006C1F4F">
      <w:pPr>
        <w:pStyle w:val="Rubrum"/>
        <w:jc w:val="both"/>
      </w:pPr>
      <w:r>
        <w:t xml:space="preserve">Baudirektion. Parlamentarische Vorstösse. Einfaches Auskunftsbegehren von Landrat Walter Mösch, Hergiswil, </w:t>
      </w:r>
      <w:r w:rsidRPr="006C1F4F">
        <w:t>zur Fahrplangestaltung Zentralbahn/Haltestelle Hergiswil Matt.</w:t>
      </w:r>
      <w:r>
        <w:t xml:space="preserve"> Beantwo</w:t>
      </w:r>
      <w:r>
        <w:t>r</w:t>
      </w:r>
      <w:r>
        <w:t>tung</w:t>
      </w:r>
    </w:p>
    <w:p w:rsidR="003E2E41" w:rsidRDefault="004057F3">
      <w:pPr>
        <w:pStyle w:val="berschrift1"/>
      </w:pPr>
      <w:r>
        <w:t>Sachverhalt</w:t>
      </w:r>
    </w:p>
    <w:p w:rsidR="003E2E41" w:rsidRDefault="004057F3">
      <w:pPr>
        <w:pStyle w:val="Textkrper"/>
      </w:pPr>
      <w:r>
        <w:t>1.</w:t>
      </w:r>
      <w:r>
        <w:br/>
        <w:t>Mit Schreiben vom 6. April 2012 ersuchte Landrat Walter Mösch, Hergiswil, den Regierung</w:t>
      </w:r>
      <w:r>
        <w:t>s</w:t>
      </w:r>
      <w:r>
        <w:t>rat um Beantwortung von drei Fragen zur Fahrplangestaltung der Zentralbahn und zur Halt</w:t>
      </w:r>
      <w:r>
        <w:t>e</w:t>
      </w:r>
      <w:r>
        <w:t xml:space="preserve">stelle Hergiswil Matt. </w:t>
      </w:r>
    </w:p>
    <w:p w:rsidR="006C1F4F" w:rsidRDefault="004057F3">
      <w:pPr>
        <w:pStyle w:val="Textkrper"/>
      </w:pPr>
      <w:r>
        <w:t>2.</w:t>
      </w:r>
      <w:r>
        <w:br/>
      </w:r>
      <w:r w:rsidRPr="006C1F4F">
        <w:t>Gemäss § 105 des Reglements über die Geschäftsordnung des Landrats (Landratsregl</w:t>
      </w:r>
      <w:r w:rsidRPr="006C1F4F">
        <w:t>e</w:t>
      </w:r>
      <w:r w:rsidRPr="006C1F4F">
        <w:t xml:space="preserve">ment; NG 151.11) muss ein </w:t>
      </w:r>
      <w:r>
        <w:t>E</w:t>
      </w:r>
      <w:r w:rsidRPr="006C1F4F">
        <w:t>infaches Auskunftsbegehren am Ende der nächstfolgenden Landratssitzung beantwortet werden, sofern es spätestens 10 Tage vor einer Landratssi</w:t>
      </w:r>
      <w:r w:rsidRPr="006C1F4F">
        <w:t>t</w:t>
      </w:r>
      <w:r w:rsidRPr="006C1F4F">
        <w:t>zung beim Landratssekretariat hinterlegt worden ist.</w:t>
      </w:r>
    </w:p>
    <w:p w:rsidR="003E2E41" w:rsidRDefault="004057F3">
      <w:pPr>
        <w:pStyle w:val="berschrift1"/>
      </w:pPr>
      <w:r>
        <w:t>Erwägungen</w:t>
      </w:r>
    </w:p>
    <w:p w:rsidR="003E2E41" w:rsidRDefault="004057F3">
      <w:pPr>
        <w:pStyle w:val="Textkrper"/>
      </w:pPr>
      <w:r w:rsidRPr="00F43378">
        <w:t xml:space="preserve">Der Regierungsrat nimmt zu den Fragen an der Landratssitzung vom </w:t>
      </w:r>
      <w:r>
        <w:t>25. April</w:t>
      </w:r>
      <w:r w:rsidRPr="00F43378">
        <w:t xml:space="preserve"> 2012 wie folgt Stellung:</w:t>
      </w:r>
    </w:p>
    <w:p w:rsidR="00F43378" w:rsidRDefault="004057F3" w:rsidP="00F43378">
      <w:pPr>
        <w:pStyle w:val="berschrift2"/>
      </w:pPr>
      <w:r>
        <w:t>Gibt es Möglichkeiten, dass die Haltestation Hergiswil Matt beibehalten werden kann trotz Verdichtung des Fahrplans?</w:t>
      </w:r>
    </w:p>
    <w:p w:rsidR="00D650C8" w:rsidRDefault="004057F3">
      <w:pPr>
        <w:pStyle w:val="Textkrper"/>
      </w:pPr>
      <w:r>
        <w:t xml:space="preserve">Im Rahmen der Angebotsplanungen der zb Zentralbahn AG wurde 2008 der Fahrplan Vx präsentiert. Darin ist ein Viertelstundentakt von Stans und Sarnen nach Luzern in den Hauptverkehrszeiten vorgesehen. Ergänzend dazu verkehren zwei Interregio-Verbindungen von Luzern nach Engelberg und Interlaken (IR). Grundlage für dieses Angebotskonzept sind der Doppelspurausbau der zb in Luzern (Allmend) und zwischen Hergiswil Schlüssel und Matt. Während der Doppelspurausbau und die Tieflegung der zb in Luzern termingerecht fertiggestellt werden kann, fehlt die Doppelspur in Hergiswil. </w:t>
      </w:r>
    </w:p>
    <w:p w:rsidR="00D650C8" w:rsidRDefault="004057F3">
      <w:pPr>
        <w:pStyle w:val="Textkrper"/>
      </w:pPr>
      <w:r>
        <w:t>Aufgrund dieser Ausgangslage wurde die Fahrbarkeit des künftigen Angebotskonzepts Vx überprüft. Zusammen mit externen Fahrplan-Spezialisten hat die zb nach Möglichkeiten g</w:t>
      </w:r>
      <w:r>
        <w:t>e</w:t>
      </w:r>
      <w:r>
        <w:t>sucht, um die Haltestelle Hergiswil Matt auch mit dem Fahrplan 2014 und den damit zusa</w:t>
      </w:r>
      <w:r>
        <w:t>m</w:t>
      </w:r>
      <w:r>
        <w:t xml:space="preserve">menhängenden Verdichtungen zu bedienen. Verschiedene Varianten wurden entwickelt und geprüft. Im Mittelpunkt der Untersuchungen stand die Fahrplanstabilität. Nur ein Fahrplan, welcher auch in den Hauptverkehrszeiten und im Störungsfall funktioniert, kann langfristig  gefahren werden. Der Fahrplan muss auch unter diesen Bedingungen stabil sein. </w:t>
      </w:r>
    </w:p>
    <w:p w:rsidR="00F43378" w:rsidRDefault="004057F3">
      <w:pPr>
        <w:pStyle w:val="Textkrper"/>
      </w:pPr>
      <w:r>
        <w:br w:type="page"/>
      </w:r>
      <w:r>
        <w:lastRenderedPageBreak/>
        <w:t>Die Untersuchungen zeigten, dass zwei Varianten stabil fahrbar sind. Eine dieser Varianten (3B) ermöglicht einen Halt in Hergiswil Matt. Die andere Variante (Vx) sieht keinen Halt an dieser Station mehr vor. Die zwei Varianten wurden in der Folge mit acht verschiedenen Kr</w:t>
      </w:r>
      <w:r>
        <w:t>i</w:t>
      </w:r>
      <w:r>
        <w:t>terien (z.B. Anschlüsse in Luzern, Rollmaterial oder Vergleich der Reisezeiten) bewertet. Die Ergebnisse dieser Bewertungen wurden den Bestellern präsentiert. Die zb überlässt den Entscheid für die eine oder andere Variante den Bestellern des Fahrplans. Grundsätzlich gibt es eine Fahrplanvariante (3B), bei welcher die Haltestelle Hergiswil Matt weiterhin bedient werden kann.</w:t>
      </w:r>
    </w:p>
    <w:p w:rsidR="00F43378" w:rsidRDefault="004057F3" w:rsidP="00F43378">
      <w:pPr>
        <w:pStyle w:val="berschrift2"/>
      </w:pPr>
      <w:r>
        <w:t>Falls ja, wie stehen die beiden Anrainerkantone Obwalden und Luzern zu einer solchen Lösung?</w:t>
      </w:r>
    </w:p>
    <w:p w:rsidR="00F43378" w:rsidRDefault="004057F3">
      <w:pPr>
        <w:pStyle w:val="Textkrper"/>
      </w:pPr>
      <w:r>
        <w:t>Die beiden Fahrplan-Varianten und deren Bewertung wurden auf Fachebene durch die B</w:t>
      </w:r>
      <w:r>
        <w:t>e</w:t>
      </w:r>
      <w:r>
        <w:t>steller (Bund, die Kantone Luzern, Bern, Obwalden und Nidwalden) eingehend diskutiert. Die Besteller konnten sich auf keine gemeinsame Variante einigen. Der Bund als Mitbesteller überlässt den Variantenentscheid den Besteller-Kantonen. In der Folge wurde ein Entscheid auf politischer Ebene angestrebt. Anfangs Februar 2012 wurden die Varianten durch die pol</w:t>
      </w:r>
      <w:r>
        <w:t>i</w:t>
      </w:r>
      <w:r>
        <w:t>tischen Exponenten der Kantone (Direktionsvorsteher) diskutiert. Dabei sprachen sich die Kantone Luzern und Obwalden für die Variante Vx ohne Halt in Hergiswil Matt aus. Nidwa</w:t>
      </w:r>
      <w:r>
        <w:t>l</w:t>
      </w:r>
      <w:r>
        <w:t>den setzte sich für die Variante mit einem Halt in Hergiswil Matt (3B) ein. Es konnte somit keine Einigung unter den Bestellern auf eine Fahrplan-Variante gefunden werden. Aufgrund der Vorgaben im Personenbeförderungsgesetz (PBG; SR 745.1) hat nun das Bundesamt für Verkehr (BAV) gemäss Schreiben vom 4. April 2012 entschieden, die Fahrplanvariante 3B vorzuziehen.</w:t>
      </w:r>
    </w:p>
    <w:p w:rsidR="00F43378" w:rsidRDefault="004057F3" w:rsidP="00F43378">
      <w:pPr>
        <w:pStyle w:val="berschrift2"/>
      </w:pPr>
      <w:r>
        <w:t>Wie gedenkt der Regierungsrat weiter vorzugehen?</w:t>
      </w:r>
    </w:p>
    <w:p w:rsidR="00F43378" w:rsidRDefault="004057F3">
      <w:pPr>
        <w:pStyle w:val="Textkrper"/>
      </w:pPr>
      <w:r>
        <w:t>Als Erstes wird nun eine anfechtbare Verfügung des BAV verlangt. Nach Ausstellen einer solchen Verfügung kann der Regierungsrat gegen den Entscheid Beschwerde erheben. Nach Vorliegen des Entscheids des BAV soll der Gemeinderat Hergiswil dazu angehört we</w:t>
      </w:r>
      <w:r>
        <w:t>r</w:t>
      </w:r>
      <w:r>
        <w:t>den. Gestützt auf diese Stellungnahme wird der Regierungsrat entscheiden, ob der En</w:t>
      </w:r>
      <w:r>
        <w:t>t</w:t>
      </w:r>
      <w:r>
        <w:t>scheid des BAV angefochten wird oder nicht.</w:t>
      </w:r>
    </w:p>
    <w:p w:rsidR="0075512D" w:rsidRDefault="004057F3">
      <w:pPr>
        <w:pStyle w:val="Textkrper"/>
      </w:pPr>
      <w:r>
        <w:t>Der Regierungsrat ist von der Notwendigkeit des Halts in Hergiswil Matt überzeugt. Heute werden täglich durchschnittlich 350 Ein- und Aussteiger an dieser Haltestelle gezählt. Im Vergleich dazu steigen in Sachseln durchschnittlich pro Tag 320 Personen ein und aus. In Kriens Mattenhof sind dies 550 und in Dallenwil 200. Es erscheint dem Regierungsrat unve</w:t>
      </w:r>
      <w:r>
        <w:t>r</w:t>
      </w:r>
      <w:r>
        <w:t>hältnismässig diese Haltestelle nicht mehr zu bedienen. Die Argumente der Kantone Obwa</w:t>
      </w:r>
      <w:r>
        <w:t>l</w:t>
      </w:r>
      <w:r>
        <w:t>den und Luzern gegen die Variante mit Halt in Hergiswil (kein sauberer Viertelstundentakt, Anschlüsse in Luzern) stehen in einem schlechten Verhältnis zum Verzicht auf die Halteste</w:t>
      </w:r>
      <w:r>
        <w:t>l</w:t>
      </w:r>
      <w:r>
        <w:t>le Hergiswil Matt. Der Regierungsrat wird sich weiterhin für die Bedienung der Haltestelle Hergiswil Matt einsetzen.</w:t>
      </w:r>
    </w:p>
    <w:p w:rsidR="003E2E41" w:rsidRDefault="004057F3">
      <w:pPr>
        <w:pStyle w:val="berschrift1"/>
      </w:pPr>
      <w:r>
        <w:t>Beschluss</w:t>
      </w:r>
    </w:p>
    <w:p w:rsidR="003E2E41" w:rsidRDefault="004057F3" w:rsidP="00F43378">
      <w:pPr>
        <w:pStyle w:val="Nummeriert"/>
        <w:ind w:left="0" w:firstLine="0"/>
      </w:pPr>
      <w:r w:rsidRPr="00F43378">
        <w:t xml:space="preserve">Die mündliche Beantwortung des </w:t>
      </w:r>
      <w:r>
        <w:t>E</w:t>
      </w:r>
      <w:r w:rsidRPr="00F43378">
        <w:t>infachen Auskunftsbegehrens erfolgt im Sinne der Erw</w:t>
      </w:r>
      <w:r w:rsidRPr="00F43378">
        <w:t>ä</w:t>
      </w:r>
      <w:r w:rsidRPr="00F43378">
        <w:t>gungen.</w:t>
      </w:r>
    </w:p>
    <w:p w:rsidR="003E2E41" w:rsidRDefault="004057F3">
      <w:pPr>
        <w:pStyle w:val="Verteilertitel"/>
      </w:pPr>
      <w:r>
        <w:br w:type="page"/>
      </w:r>
      <w:r>
        <w:lastRenderedPageBreak/>
        <w:t>Mitteilung durch Protokollauszug an:</w:t>
      </w:r>
    </w:p>
    <w:p w:rsidR="003E2E41" w:rsidRDefault="004057F3">
      <w:pPr>
        <w:pStyle w:val="Verteiler"/>
        <w:numPr>
          <w:ilvl w:val="0"/>
          <w:numId w:val="3"/>
        </w:numPr>
        <w:ind w:left="284" w:hanging="284"/>
      </w:pPr>
      <w:r>
        <w:t>Landratssekretariat</w:t>
      </w:r>
    </w:p>
    <w:p w:rsidR="00D3286E" w:rsidRDefault="004057F3">
      <w:pPr>
        <w:pStyle w:val="Verteiler"/>
        <w:numPr>
          <w:ilvl w:val="0"/>
          <w:numId w:val="3"/>
        </w:numPr>
        <w:ind w:left="284" w:hanging="284"/>
      </w:pPr>
      <w:r>
        <w:t>Finanzdirektion</w:t>
      </w:r>
    </w:p>
    <w:p w:rsidR="00D3286E" w:rsidRDefault="004057F3">
      <w:pPr>
        <w:pStyle w:val="Verteiler"/>
        <w:numPr>
          <w:ilvl w:val="0"/>
          <w:numId w:val="3"/>
        </w:numPr>
        <w:ind w:left="284" w:hanging="284"/>
      </w:pPr>
      <w:r>
        <w:t>Baudirektion</w:t>
      </w:r>
    </w:p>
    <w:p w:rsidR="00D3286E" w:rsidRDefault="004057F3">
      <w:pPr>
        <w:pStyle w:val="Verteiler"/>
        <w:numPr>
          <w:ilvl w:val="0"/>
          <w:numId w:val="3"/>
        </w:numPr>
        <w:ind w:left="284" w:hanging="284"/>
      </w:pPr>
      <w:r>
        <w:t>Direktionssekretariat Baudirektion</w:t>
      </w:r>
    </w:p>
    <w:p w:rsidR="00A86C71" w:rsidRDefault="004057F3" w:rsidP="00A86C71">
      <w:pPr>
        <w:pStyle w:val="Verteiler"/>
        <w:numPr>
          <w:ilvl w:val="0"/>
          <w:numId w:val="3"/>
        </w:numPr>
        <w:ind w:left="284" w:hanging="284"/>
      </w:pPr>
      <w:r>
        <w:t>Fachstelle öffentlicher Verkehr und Projektentwicklung</w:t>
      </w:r>
    </w:p>
    <w:p w:rsidR="003E2E41" w:rsidRDefault="004057F3" w:rsidP="00E37A01">
      <w:pPr>
        <w:spacing w:before="240"/>
      </w:pPr>
      <w:r>
        <w:rPr>
          <w:noProof/>
          <w:sz w:val="16"/>
        </w:rPr>
        <w:t>NWLR.83</w:t>
      </w:r>
    </w:p>
    <w:p w:rsidR="003E2E41" w:rsidRDefault="00063B3E">
      <w:pPr>
        <w:tabs>
          <w:tab w:val="center" w:pos="7088"/>
        </w:tabs>
      </w:pPr>
    </w:p>
    <w:p w:rsidR="003E2E41" w:rsidRDefault="00063B3E">
      <w:pPr>
        <w:pStyle w:val="Unterschrift"/>
      </w:pPr>
      <w:r>
        <w:rPr>
          <w:noProof/>
          <w:lang w:eastAsia="de-CH"/>
        </w:rPr>
        <w:drawing>
          <wp:anchor distT="0" distB="0" distL="114300" distR="114300" simplePos="0" relativeHeight="251659264" behindDoc="1" locked="0" layoutInCell="1" allowOverlap="1">
            <wp:simplePos x="0" y="0"/>
            <wp:positionH relativeFrom="column">
              <wp:posOffset>2198370</wp:posOffset>
            </wp:positionH>
            <wp:positionV relativeFrom="paragraph">
              <wp:posOffset>443865</wp:posOffset>
            </wp:positionV>
            <wp:extent cx="1285875" cy="1257300"/>
            <wp:effectExtent l="19050" t="0" r="9525" b="0"/>
            <wp:wrapNone/>
            <wp:docPr id="3"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7" cstate="print">
                      <a:lum bright="-20000" contrast="40000"/>
                    </a:blip>
                    <a:srcRect/>
                    <a:stretch>
                      <a:fillRect/>
                    </a:stretch>
                  </pic:blipFill>
                  <pic:spPr bwMode="auto">
                    <a:xfrm>
                      <a:off x="0" y="0"/>
                      <a:ext cx="1285875" cy="1257300"/>
                    </a:xfrm>
                    <a:prstGeom prst="rect">
                      <a:avLst/>
                    </a:prstGeom>
                    <a:noFill/>
                  </pic:spPr>
                </pic:pic>
              </a:graphicData>
            </a:graphic>
          </wp:anchor>
        </w:drawing>
      </w:r>
      <w:r w:rsidR="004057F3">
        <w:tab/>
        <w:t>REGIERUNGSRAT NIDWALDEN</w:t>
      </w:r>
      <w:r w:rsidR="004057F3">
        <w:br/>
      </w:r>
      <w:r w:rsidR="004057F3">
        <w:br/>
      </w:r>
      <w:r w:rsidR="004057F3">
        <w:tab/>
      </w:r>
      <w:r w:rsidR="004057F3">
        <w:tab/>
        <w:t>Landschreiber</w:t>
      </w:r>
    </w:p>
    <w:p w:rsidR="003E2E41" w:rsidRDefault="00063B3E">
      <w:r>
        <w:rPr>
          <w:noProof/>
          <w:lang w:eastAsia="de-CH"/>
        </w:rPr>
        <w:drawing>
          <wp:anchor distT="0" distB="0" distL="114300" distR="114300" simplePos="0" relativeHeight="251660288" behindDoc="1" locked="0" layoutInCell="1" allowOverlap="1">
            <wp:simplePos x="0" y="0"/>
            <wp:positionH relativeFrom="column">
              <wp:posOffset>3763645</wp:posOffset>
            </wp:positionH>
            <wp:positionV relativeFrom="paragraph">
              <wp:posOffset>153035</wp:posOffset>
            </wp:positionV>
            <wp:extent cx="923925" cy="447675"/>
            <wp:effectExtent l="19050" t="0" r="9525" b="0"/>
            <wp:wrapNone/>
            <wp:docPr id="4"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pic:cNvPicPr>
                      <a:picLocks noChangeAspect="1" noChangeArrowheads="1"/>
                    </pic:cNvPicPr>
                  </pic:nvPicPr>
                  <pic:blipFill>
                    <a:blip r:embed="rId8" cstate="print"/>
                    <a:srcRect/>
                    <a:stretch>
                      <a:fillRect/>
                    </a:stretch>
                  </pic:blipFill>
                  <pic:spPr bwMode="auto">
                    <a:xfrm>
                      <a:off x="0" y="0"/>
                      <a:ext cx="923925" cy="447675"/>
                    </a:xfrm>
                    <a:prstGeom prst="rect">
                      <a:avLst/>
                    </a:prstGeom>
                    <a:noFill/>
                  </pic:spPr>
                </pic:pic>
              </a:graphicData>
            </a:graphic>
          </wp:anchor>
        </w:drawing>
      </w:r>
    </w:p>
    <w:sectPr w:rsidR="003E2E41" w:rsidSect="006C67E8">
      <w:headerReference w:type="default" r:id="rId9"/>
      <w:headerReference w:type="first" r:id="rId10"/>
      <w:pgSz w:w="11907" w:h="16840" w:code="9"/>
      <w:pgMar w:top="1134" w:right="1134" w:bottom="1191" w:left="1134" w:header="454"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BCA" w:rsidRDefault="00724BCA" w:rsidP="00724BCA">
      <w:r>
        <w:separator/>
      </w:r>
    </w:p>
  </w:endnote>
  <w:endnote w:type="continuationSeparator" w:id="0">
    <w:p w:rsidR="00724BCA" w:rsidRDefault="00724BCA" w:rsidP="00724B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R-TM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ill Sans">
    <w:panose1 w:val="020B06020202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BCA" w:rsidRDefault="00724BCA" w:rsidP="00724BCA">
      <w:r>
        <w:separator/>
      </w:r>
    </w:p>
  </w:footnote>
  <w:footnote w:type="continuationSeparator" w:id="0">
    <w:p w:rsidR="00724BCA" w:rsidRDefault="00724BCA" w:rsidP="00724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4A" w:rsidRDefault="009547E6">
    <w:pPr>
      <w:pStyle w:val="Kopfzeile"/>
    </w:pPr>
    <w:r>
      <w:rPr>
        <w:rStyle w:val="Seitenzahl"/>
      </w:rPr>
      <w:fldChar w:fldCharType="begin"/>
    </w:r>
    <w:r w:rsidR="004057F3">
      <w:rPr>
        <w:rStyle w:val="Seitenzahl"/>
      </w:rPr>
      <w:instrText xml:space="preserve"> PAGE </w:instrText>
    </w:r>
    <w:r>
      <w:rPr>
        <w:rStyle w:val="Seitenzahl"/>
      </w:rPr>
      <w:fldChar w:fldCharType="separate"/>
    </w:r>
    <w:r w:rsidR="00063B3E">
      <w:rPr>
        <w:rStyle w:val="Seitenzahl"/>
        <w:noProof/>
      </w:rPr>
      <w:t>3</w:t>
    </w:r>
    <w:r>
      <w:rPr>
        <w:rStyle w:val="Seitenzah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4A" w:rsidRDefault="00063B3E">
    <w:pPr>
      <w:pStyle w:val="Kopfzeile"/>
      <w:rPr>
        <w:sz w:val="2"/>
      </w:rPr>
    </w:pPr>
  </w:p>
  <w:tbl>
    <w:tblPr>
      <w:tblW w:w="9072" w:type="dxa"/>
      <w:tblLayout w:type="fixed"/>
      <w:tblCellMar>
        <w:left w:w="0" w:type="dxa"/>
        <w:right w:w="0" w:type="dxa"/>
      </w:tblCellMar>
      <w:tblLook w:val="04A0"/>
    </w:tblPr>
    <w:tblGrid>
      <w:gridCol w:w="896"/>
      <w:gridCol w:w="8176"/>
    </w:tblGrid>
    <w:tr w:rsidR="00724BCA" w:rsidTr="004531DA">
      <w:trPr>
        <w:cantSplit/>
        <w:trHeight w:val="196"/>
      </w:trPr>
      <w:tc>
        <w:tcPr>
          <w:tcW w:w="896" w:type="dxa"/>
        </w:tcPr>
        <w:p w:rsidR="00034C4A" w:rsidRPr="00650B34" w:rsidRDefault="00063B3E" w:rsidP="0048260B">
          <w:pPr>
            <w:jc w:val="center"/>
            <w:rPr>
              <w:rFonts w:cs="Tahoma"/>
              <w:noProof/>
              <w:sz w:val="20"/>
              <w:lang w:eastAsia="de-CH"/>
            </w:rPr>
          </w:pPr>
          <w:r>
            <w:rPr>
              <w:rFonts w:cs="Tahoma"/>
              <w:noProof/>
              <w:sz w:val="20"/>
              <w:lang w:eastAsia="de-CH"/>
            </w:rPr>
            <w:drawing>
              <wp:inline distT="0" distB="0" distL="0" distR="0">
                <wp:extent cx="541020" cy="53403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l="1633" t="1093" r="2177" b="35960"/>
                        <a:stretch>
                          <a:fillRect/>
                        </a:stretch>
                      </pic:blipFill>
                      <pic:spPr bwMode="auto">
                        <a:xfrm>
                          <a:off x="0" y="0"/>
                          <a:ext cx="541020" cy="534035"/>
                        </a:xfrm>
                        <a:prstGeom prst="rect">
                          <a:avLst/>
                        </a:prstGeom>
                        <a:noFill/>
                        <a:ln w="9525">
                          <a:noFill/>
                          <a:miter lim="800000"/>
                          <a:headEnd/>
                          <a:tailEnd/>
                        </a:ln>
                      </pic:spPr>
                    </pic:pic>
                  </a:graphicData>
                </a:graphic>
              </wp:inline>
            </w:drawing>
          </w:r>
        </w:p>
      </w:tc>
      <w:tc>
        <w:tcPr>
          <w:tcW w:w="8176" w:type="dxa"/>
          <w:vMerge w:val="restart"/>
        </w:tcPr>
        <w:tbl>
          <w:tblPr>
            <w:tblpPr w:leftFromText="141" w:rightFromText="141" w:vertAnchor="text" w:horzAnchor="margin" w:tblpY="843"/>
            <w:tblOverlap w:val="never"/>
            <w:tblW w:w="8537" w:type="dxa"/>
            <w:tblInd w:w="2" w:type="dxa"/>
            <w:tblBorders>
              <w:top w:val="single" w:sz="2" w:space="0" w:color="000000"/>
            </w:tblBorders>
            <w:tblLayout w:type="fixed"/>
            <w:tblCellMar>
              <w:left w:w="0" w:type="dxa"/>
              <w:right w:w="0" w:type="dxa"/>
            </w:tblCellMar>
            <w:tblLook w:val="04A0"/>
          </w:tblPr>
          <w:tblGrid>
            <w:gridCol w:w="152"/>
            <w:gridCol w:w="2268"/>
            <w:gridCol w:w="158"/>
            <w:gridCol w:w="2264"/>
            <w:gridCol w:w="140"/>
            <w:gridCol w:w="3555"/>
          </w:tblGrid>
          <w:tr w:rsidR="00724BCA" w:rsidTr="00C5256B">
            <w:trPr>
              <w:trHeight w:val="284"/>
            </w:trPr>
            <w:tc>
              <w:tcPr>
                <w:tcW w:w="152" w:type="dxa"/>
                <w:tcBorders>
                  <w:top w:val="nil"/>
                </w:tcBorders>
              </w:tcPr>
              <w:p w:rsidR="00034C4A" w:rsidRPr="00650B34" w:rsidRDefault="00063B3E" w:rsidP="00650B34">
                <w:pPr>
                  <w:spacing w:before="60"/>
                  <w:jc w:val="left"/>
                  <w:rPr>
                    <w:rFonts w:ascii="Gill Sans" w:hAnsi="Gill Sans" w:cs="Arial"/>
                    <w:caps/>
                    <w:sz w:val="14"/>
                    <w:szCs w:val="14"/>
                  </w:rPr>
                </w:pPr>
              </w:p>
            </w:tc>
            <w:tc>
              <w:tcPr>
                <w:tcW w:w="2268" w:type="dxa"/>
                <w:tcBorders>
                  <w:top w:val="single" w:sz="2" w:space="0" w:color="000000"/>
                </w:tcBorders>
              </w:tcPr>
              <w:p w:rsidR="00034C4A" w:rsidRPr="00650B34" w:rsidRDefault="004057F3" w:rsidP="00650B34">
                <w:pPr>
                  <w:spacing w:before="60"/>
                  <w:jc w:val="left"/>
                  <w:rPr>
                    <w:rFonts w:ascii="Gill Sans" w:hAnsi="Gill Sans" w:cs="Arial"/>
                    <w:caps/>
                    <w:sz w:val="14"/>
                    <w:szCs w:val="14"/>
                  </w:rPr>
                </w:pPr>
                <w:r>
                  <w:rPr>
                    <w:rFonts w:ascii="Gill Sans" w:hAnsi="Gill Sans" w:cs="Arial"/>
                    <w:caps/>
                    <w:sz w:val="14"/>
                    <w:szCs w:val="14"/>
                  </w:rPr>
                  <w:t>REGIERUNGSRAT</w:t>
                </w:r>
              </w:p>
            </w:tc>
            <w:tc>
              <w:tcPr>
                <w:tcW w:w="158" w:type="dxa"/>
                <w:tcBorders>
                  <w:top w:val="nil"/>
                </w:tcBorders>
              </w:tcPr>
              <w:p w:rsidR="00034C4A" w:rsidRPr="00650B34" w:rsidRDefault="00063B3E" w:rsidP="00650B34">
                <w:pPr>
                  <w:spacing w:before="60" w:after="60"/>
                  <w:rPr>
                    <w:rFonts w:cs="Tahoma"/>
                  </w:rPr>
                </w:pPr>
              </w:p>
            </w:tc>
            <w:tc>
              <w:tcPr>
                <w:tcW w:w="2264" w:type="dxa"/>
              </w:tcPr>
              <w:p w:rsidR="00034C4A" w:rsidRPr="00650B34" w:rsidRDefault="00063B3E" w:rsidP="00650B34">
                <w:pPr>
                  <w:spacing w:before="60"/>
                  <w:jc w:val="left"/>
                  <w:rPr>
                    <w:rFonts w:ascii="Gill Sans" w:hAnsi="Gill Sans" w:cs="Arial"/>
                    <w:caps/>
                    <w:sz w:val="14"/>
                    <w:szCs w:val="14"/>
                  </w:rPr>
                </w:pPr>
              </w:p>
            </w:tc>
            <w:tc>
              <w:tcPr>
                <w:tcW w:w="140" w:type="dxa"/>
                <w:tcBorders>
                  <w:top w:val="nil"/>
                </w:tcBorders>
              </w:tcPr>
              <w:p w:rsidR="00034C4A" w:rsidRPr="00650B34" w:rsidRDefault="00063B3E" w:rsidP="00650B34">
                <w:pPr>
                  <w:spacing w:before="60" w:after="60"/>
                  <w:rPr>
                    <w:rFonts w:cs="Tahoma"/>
                  </w:rPr>
                </w:pPr>
              </w:p>
            </w:tc>
            <w:tc>
              <w:tcPr>
                <w:tcW w:w="3555" w:type="dxa"/>
              </w:tcPr>
              <w:p w:rsidR="00034C4A" w:rsidRPr="00650B34" w:rsidRDefault="004057F3" w:rsidP="006759BE">
                <w:pPr>
                  <w:spacing w:before="60"/>
                  <w:jc w:val="left"/>
                  <w:rPr>
                    <w:rFonts w:ascii="Gill Sans" w:hAnsi="Gill Sans" w:cs="Arial"/>
                    <w:sz w:val="14"/>
                    <w:szCs w:val="14"/>
                  </w:rPr>
                </w:pPr>
                <w:r>
                  <w:rPr>
                    <w:rFonts w:ascii="Gill Sans" w:hAnsi="Gill Sans" w:cs="Arial"/>
                    <w:caps/>
                    <w:sz w:val="14"/>
                    <w:szCs w:val="14"/>
                  </w:rPr>
                  <w:t>PROTOKOLLAUSZUG</w:t>
                </w:r>
              </w:p>
            </w:tc>
          </w:tr>
        </w:tbl>
        <w:p w:rsidR="00034C4A" w:rsidRDefault="00063B3E" w:rsidP="00650B34">
          <w:pPr>
            <w:jc w:val="left"/>
            <w:rPr>
              <w:rFonts w:cs="Tahoma"/>
              <w:sz w:val="20"/>
            </w:rPr>
          </w:pPr>
        </w:p>
        <w:p w:rsidR="00034C4A" w:rsidRPr="0048260B" w:rsidRDefault="00063B3E" w:rsidP="0048260B">
          <w:pPr>
            <w:ind w:firstLine="709"/>
            <w:rPr>
              <w:rFonts w:cs="Tahoma"/>
              <w:sz w:val="20"/>
            </w:rPr>
          </w:pPr>
        </w:p>
      </w:tc>
    </w:tr>
    <w:tr w:rsidR="00724BCA" w:rsidTr="004531DA">
      <w:trPr>
        <w:cantSplit/>
        <w:trHeight w:val="195"/>
      </w:trPr>
      <w:tc>
        <w:tcPr>
          <w:tcW w:w="896" w:type="dxa"/>
        </w:tcPr>
        <w:p w:rsidR="00034C4A" w:rsidRPr="00650B34" w:rsidRDefault="004057F3" w:rsidP="00650B34">
          <w:pPr>
            <w:spacing w:before="60"/>
            <w:jc w:val="center"/>
            <w:rPr>
              <w:rFonts w:ascii="Gill Sans" w:hAnsi="Gill Sans" w:cs="Arial"/>
              <w:caps/>
              <w:noProof/>
              <w:sz w:val="14"/>
              <w:szCs w:val="14"/>
              <w:lang w:eastAsia="de-CH"/>
            </w:rPr>
          </w:pPr>
          <w:r w:rsidRPr="00650B34">
            <w:rPr>
              <w:rFonts w:ascii="Gill Sans" w:hAnsi="Gill Sans" w:cs="Arial"/>
              <w:caps/>
              <w:noProof/>
              <w:sz w:val="14"/>
              <w:szCs w:val="14"/>
              <w:lang w:eastAsia="de-CH"/>
            </w:rPr>
            <w:t>Kanton Nidwalden</w:t>
          </w:r>
        </w:p>
      </w:tc>
      <w:tc>
        <w:tcPr>
          <w:tcW w:w="8176" w:type="dxa"/>
          <w:vMerge/>
        </w:tcPr>
        <w:p w:rsidR="00034C4A" w:rsidRPr="00650B34" w:rsidRDefault="00063B3E" w:rsidP="00650B34">
          <w:pPr>
            <w:spacing w:before="60"/>
            <w:jc w:val="left"/>
            <w:rPr>
              <w:rFonts w:ascii="Gill Sans" w:hAnsi="Gill Sans" w:cs="Arial"/>
              <w:caps/>
              <w:sz w:val="14"/>
              <w:szCs w:val="14"/>
            </w:rPr>
          </w:pPr>
        </w:p>
      </w:tc>
    </w:tr>
  </w:tbl>
  <w:p w:rsidR="00034C4A" w:rsidRPr="00650B34" w:rsidRDefault="00063B3E" w:rsidP="00650B34">
    <w:pPr>
      <w:tabs>
        <w:tab w:val="center" w:pos="4536"/>
        <w:tab w:val="right" w:pos="9072"/>
      </w:tabs>
      <w:jc w:val="left"/>
      <w:rPr>
        <w:rFonts w:cs="Tahoma"/>
        <w:sz w:val="20"/>
      </w:rPr>
    </w:pPr>
  </w:p>
  <w:p w:rsidR="00034C4A" w:rsidRDefault="00063B3E">
    <w:pPr>
      <w:pStyle w:val="Kopfzeile"/>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none"/>
      <w:pStyle w:val="berschrift1"/>
      <w:suff w:val="nothing"/>
      <w:lvlText w:val=""/>
      <w:lvlJc w:val="left"/>
    </w:lvl>
    <w:lvl w:ilvl="1">
      <w:start w:val="1"/>
      <w:numFmt w:val="decimal"/>
      <w:pStyle w:val="berschrift2"/>
      <w:lvlText w:val="%2"/>
      <w:legacy w:legacy="1" w:legacySpace="144" w:legacyIndent="0"/>
      <w:lvlJc w:val="left"/>
    </w:lvl>
    <w:lvl w:ilvl="2">
      <w:start w:val="1"/>
      <w:numFmt w:val="decimal"/>
      <w:pStyle w:val="berschrift3"/>
      <w:lvlText w:val="%2.%3"/>
      <w:legacy w:legacy="1" w:legacySpace="144" w:legacyIndent="0"/>
      <w:lvlJc w:val="left"/>
    </w:lvl>
    <w:lvl w:ilvl="3">
      <w:start w:val="1"/>
      <w:numFmt w:val="decimal"/>
      <w:pStyle w:val="berschrift4"/>
      <w:lvlText w:val="%2.%3.%4"/>
      <w:legacy w:legacy="1" w:legacySpace="144" w:legacyIndent="0"/>
      <w:lvlJc w:val="left"/>
    </w:lvl>
    <w:lvl w:ilvl="4">
      <w:start w:val="1"/>
      <w:numFmt w:val="decimal"/>
      <w:pStyle w:val="berschrift5"/>
      <w:lvlText w:val="%2.%3.%4.%5"/>
      <w:legacy w:legacy="1" w:legacySpace="144" w:legacyIndent="0"/>
      <w:lvlJc w:val="left"/>
    </w:lvl>
    <w:lvl w:ilvl="5">
      <w:start w:val="1"/>
      <w:numFmt w:val="decimal"/>
      <w:pStyle w:val="berschrift6"/>
      <w:lvlText w:val="%2.%3.%4.%5.%6"/>
      <w:legacy w:legacy="1" w:legacySpace="144" w:legacyIndent="0"/>
      <w:lvlJc w:val="left"/>
    </w:lvl>
    <w:lvl w:ilvl="6">
      <w:start w:val="1"/>
      <w:numFmt w:val="decimal"/>
      <w:pStyle w:val="berschrift7"/>
      <w:lvlText w:val="%2.%3.%4.%5.%6.%7"/>
      <w:legacy w:legacy="1" w:legacySpace="144" w:legacyIndent="0"/>
      <w:lvlJc w:val="left"/>
    </w:lvl>
    <w:lvl w:ilvl="7">
      <w:start w:val="1"/>
      <w:numFmt w:val="decimal"/>
      <w:pStyle w:val="berschrift8"/>
      <w:lvlText w:val="%2.%3.%4.%5.%6.%7.%8"/>
      <w:legacy w:legacy="1" w:legacySpace="144" w:legacyIndent="0"/>
      <w:lvlJc w:val="left"/>
    </w:lvl>
    <w:lvl w:ilvl="8">
      <w:start w:val="1"/>
      <w:numFmt w:val="decimal"/>
      <w:pStyle w:val="berschrift9"/>
      <w:lvlText w:val="%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DBB7329"/>
    <w:multiLevelType w:val="singleLevel"/>
    <w:tmpl w:val="9DB4A8B6"/>
    <w:lvl w:ilvl="0">
      <w:start w:val="1"/>
      <w:numFmt w:val="decimal"/>
      <w:lvlText w:val="%1."/>
      <w:legacy w:legacy="1" w:legacySpace="0" w:legacyIndent="283"/>
      <w:lvlJc w:val="left"/>
      <w:pPr>
        <w:ind w:left="283" w:hanging="283"/>
      </w:pPr>
    </w:lvl>
  </w:abstractNum>
  <w:num w:numId="1">
    <w:abstractNumId w:val="0"/>
  </w:num>
  <w:num w:numId="2">
    <w:abstractNumId w:val="2"/>
  </w:num>
  <w:num w:numId="3">
    <w:abstractNumId w:val="1"/>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endnote w:id="-1"/>
    <w:endnote w:id="0"/>
  </w:endnotePr>
  <w:compat/>
  <w:docVars>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nr = String.Empty;_x000D__x000A__x0009__x0009_Geschaeft ges = (Geschaeft) obj.Geschaeft;_x000D__x000A__x0009__x0009__x000D__x000A__x0009__x0009_if (ges.Signatur != null)_x000D__x000A__x0009__x0009_{_x000D__x000A__x0009__x0009__x0009_nr = ges.Signatur.ToString();_x000D__x000A__x0009__x0009_}_x000D__x000A__x0009__x0009_else_x000D__x000A__x0009__x0009_{_x000D__x000A__x0009__x0009__x0009_nr = ges.Laufnummer.ToString();_x000D__x000A__x0009__x0009_}_x000D__x000A__x0009__x0009__x0009__x000D__x000A_            return nr;_x000D__x000A_       }_x000D__x000A_   }_x000D__x000A_}"/>
    <w:docVar w:name="MetaTool_Script2_Path" w:val="Dokument"/>
    <w:docVar w:name="MetaTool_Script2_Report" w:val="using System;_x000D__x000A_using CMI.MetaTool.Generated;_x000D__x000A_using CMI.DomainModel;_x000D__x000A_namespace CMI.MetaTool.Generated.TemplateScript_x000D__x000A_{_x000D__x000A__x0009_public class TemplateScript_x000D__x000A__x0009_{_x000D__x000A__x0009__x0009_public string Eval(Dokument obj)_x000D__x000A__x0009__x0009_{_x000D__x000A__x0009__x0009__x0009_string titel = String.Empty;_x000D__x000A__x0009__x0009__x0009_if (obj.Unterlagen !=null &amp;&amp; obj.Unterlagen.Length &gt;0)_x000D__x000A__x0009__x0009__x0009_{_x000D__x000A__x0009__x0009__x0009__x0009_foreach (Unterlage unt in obj.Unterlagen)_x000D__x000A__x0009__x0009__x0009__x0009_{_x000D__x000A__x0009__x0009__x0009__x0009__x0009_if (unt.Protokoll ==true)_x000D__x000A__x0009__x0009__x0009__x0009__x0009_{_x000D__x000A__x0009__x0009__x0009__x0009__x0009__x0009_titel = unt.Traktadum.Titel;_x000D__x000A__x0009__x0009__x0009__x0009__x0009_}_x000D__x000A__x0009__x0009__x0009__x0009__x0009_else _x000D__x000A__x0009__x0009__x0009__x0009__x0009_{_x000D__x000A__x0009__x0009__x0009__x0009__x0009__x0009_if (obj.Geschaeft !=null &amp;&amp; obj.Geschaeft.Titel !=null)_x000D__x000A__x0009__x0009__x0009__x0009__x0009__x0009_{_x000D__x000A__x0009__x0009__x0009__x0009__x0009__x0009__x0009_titel = obj.Geschaeft.Titel;_x000D__x000A__x0009__x0009__x0009__x0009__x0009__x0009_}_x000D__x000A__x0009__x0009__x0009__x0009__x0009_}_x000D__x000A__x0009__x0009__x0009__x0009_}_x000D__x000A__x0009__x0009__x0009_}_x000D__x000A__x0009__x0009__x0009_else _x000D__x000A__x0009__x0009__x0009_{_x000D__x000A__x0009__x0009__x0009__x0009__x000D__x000A__x0009__x0009__x0009__x0009_if (obj.Geschaeft != null &amp;&amp; obj.Geschaeft.Titel != null)_x000D__x000A__x0009__x0009__x0009__x0009_{_x000D__x000A__x0009__x0009__x0009__x0009__x0009_titel = obj.Geschaeft.Titel;_x000D__x000A__x0009__x0009__x0009__x0009_}_x000D__x000A__x0009__x0009__x0009__x0009__x000D__x000A__x0009__x0009__x0009_}_x0009__x000D__x000A__x0009__x0009__x0009_return titel;_x000D__x000A__x0009__x0009_}_x000D__x000A__x0009_}_x000D__x000A_} "/>
    <w:docVar w:name="MetaTool_TypeDefinition" w:val="Dokument"/>
  </w:docVars>
  <w:rsids>
    <w:rsidRoot w:val="00724BCA"/>
    <w:rsid w:val="00063B3E"/>
    <w:rsid w:val="004057F3"/>
    <w:rsid w:val="00724BCA"/>
    <w:rsid w:val="009547E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TMS" w:eastAsia="Times New Roman" w:hAnsi="BR-TMS"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67E8"/>
    <w:pPr>
      <w:jc w:val="both"/>
    </w:pPr>
    <w:rPr>
      <w:rFonts w:ascii="Arial" w:hAnsi="Arial"/>
      <w:sz w:val="22"/>
      <w:lang w:eastAsia="de-DE"/>
    </w:rPr>
  </w:style>
  <w:style w:type="paragraph" w:styleId="berschrift1">
    <w:name w:val="heading 1"/>
    <w:basedOn w:val="Standard"/>
    <w:next w:val="Textkrper"/>
    <w:qFormat/>
    <w:rsid w:val="006C67E8"/>
    <w:pPr>
      <w:keepNext/>
      <w:keepLines/>
      <w:numPr>
        <w:numId w:val="1"/>
      </w:numPr>
      <w:spacing w:before="240" w:after="240"/>
      <w:jc w:val="left"/>
      <w:outlineLvl w:val="0"/>
    </w:pPr>
    <w:rPr>
      <w:b/>
      <w:u w:val="single"/>
    </w:rPr>
  </w:style>
  <w:style w:type="paragraph" w:styleId="berschrift2">
    <w:name w:val="heading 2"/>
    <w:basedOn w:val="berschrift1"/>
    <w:next w:val="Textkrper"/>
    <w:qFormat/>
    <w:rsid w:val="006C67E8"/>
    <w:pPr>
      <w:numPr>
        <w:ilvl w:val="1"/>
      </w:numPr>
      <w:ind w:left="567" w:hanging="567"/>
      <w:outlineLvl w:val="1"/>
    </w:pPr>
    <w:rPr>
      <w:u w:val="none"/>
    </w:rPr>
  </w:style>
  <w:style w:type="paragraph" w:styleId="berschrift3">
    <w:name w:val="heading 3"/>
    <w:basedOn w:val="berschrift2"/>
    <w:next w:val="Textkrper"/>
    <w:qFormat/>
    <w:rsid w:val="006C67E8"/>
    <w:pPr>
      <w:numPr>
        <w:ilvl w:val="2"/>
      </w:numPr>
      <w:spacing w:before="0"/>
      <w:outlineLvl w:val="2"/>
    </w:pPr>
  </w:style>
  <w:style w:type="paragraph" w:styleId="berschrift4">
    <w:name w:val="heading 4"/>
    <w:basedOn w:val="berschrift3"/>
    <w:next w:val="Textkrper"/>
    <w:qFormat/>
    <w:rsid w:val="006C67E8"/>
    <w:pPr>
      <w:numPr>
        <w:ilvl w:val="3"/>
      </w:numPr>
      <w:ind w:left="709" w:hanging="709"/>
      <w:outlineLvl w:val="3"/>
    </w:pPr>
  </w:style>
  <w:style w:type="paragraph" w:styleId="berschrift5">
    <w:name w:val="heading 5"/>
    <w:basedOn w:val="berschrift4"/>
    <w:next w:val="Standard"/>
    <w:qFormat/>
    <w:rsid w:val="006C67E8"/>
    <w:pPr>
      <w:numPr>
        <w:ilvl w:val="4"/>
      </w:numPr>
      <w:outlineLvl w:val="4"/>
    </w:pPr>
  </w:style>
  <w:style w:type="paragraph" w:styleId="berschrift6">
    <w:name w:val="heading 6"/>
    <w:basedOn w:val="Standard"/>
    <w:next w:val="Standard"/>
    <w:qFormat/>
    <w:rsid w:val="006C67E8"/>
    <w:pPr>
      <w:numPr>
        <w:ilvl w:val="5"/>
        <w:numId w:val="1"/>
      </w:numPr>
      <w:spacing w:after="60"/>
      <w:outlineLvl w:val="5"/>
    </w:pPr>
    <w:rPr>
      <w:i/>
    </w:rPr>
  </w:style>
  <w:style w:type="paragraph" w:styleId="berschrift7">
    <w:name w:val="heading 7"/>
    <w:basedOn w:val="Standard"/>
    <w:next w:val="Standard"/>
    <w:qFormat/>
    <w:rsid w:val="006C67E8"/>
    <w:pPr>
      <w:numPr>
        <w:ilvl w:val="6"/>
        <w:numId w:val="1"/>
      </w:numPr>
      <w:spacing w:after="60"/>
      <w:outlineLvl w:val="6"/>
    </w:pPr>
    <w:rPr>
      <w:sz w:val="20"/>
    </w:rPr>
  </w:style>
  <w:style w:type="paragraph" w:styleId="berschrift8">
    <w:name w:val="heading 8"/>
    <w:basedOn w:val="Standard"/>
    <w:next w:val="Standard"/>
    <w:qFormat/>
    <w:rsid w:val="006C67E8"/>
    <w:pPr>
      <w:numPr>
        <w:ilvl w:val="7"/>
        <w:numId w:val="1"/>
      </w:numPr>
      <w:spacing w:after="60"/>
      <w:outlineLvl w:val="7"/>
    </w:pPr>
    <w:rPr>
      <w:i/>
      <w:sz w:val="20"/>
    </w:rPr>
  </w:style>
  <w:style w:type="paragraph" w:styleId="berschrift9">
    <w:name w:val="heading 9"/>
    <w:basedOn w:val="Standard"/>
    <w:next w:val="Standard"/>
    <w:qFormat/>
    <w:rsid w:val="006C67E8"/>
    <w:pPr>
      <w:numPr>
        <w:ilvl w:val="8"/>
        <w:numId w:val="1"/>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6C67E8"/>
    <w:pPr>
      <w:spacing w:after="240"/>
    </w:pPr>
  </w:style>
  <w:style w:type="paragraph" w:styleId="Standardeinzug">
    <w:name w:val="Normal Indent"/>
    <w:basedOn w:val="Standard"/>
    <w:semiHidden/>
    <w:rsid w:val="006C67E8"/>
    <w:pPr>
      <w:tabs>
        <w:tab w:val="left" w:pos="432"/>
      </w:tabs>
      <w:ind w:left="432" w:hanging="432"/>
    </w:pPr>
  </w:style>
  <w:style w:type="paragraph" w:customStyle="1" w:styleId="NummerundDatum">
    <w:name w:val="Nummer und Datum"/>
    <w:basedOn w:val="Standard"/>
    <w:next w:val="Rubrum"/>
    <w:rsid w:val="006C67E8"/>
    <w:pPr>
      <w:tabs>
        <w:tab w:val="left" w:pos="5103"/>
      </w:tabs>
      <w:spacing w:before="480"/>
      <w:jc w:val="left"/>
    </w:pPr>
  </w:style>
  <w:style w:type="paragraph" w:customStyle="1" w:styleId="Rubrum">
    <w:name w:val="Rubrum"/>
    <w:basedOn w:val="Standard"/>
    <w:next w:val="Textkrper"/>
    <w:rsid w:val="006C67E8"/>
    <w:pPr>
      <w:spacing w:before="720" w:after="240"/>
      <w:jc w:val="left"/>
    </w:pPr>
  </w:style>
  <w:style w:type="paragraph" w:styleId="Kopfzeile">
    <w:name w:val="header"/>
    <w:basedOn w:val="Standard"/>
    <w:semiHidden/>
    <w:rsid w:val="006C67E8"/>
    <w:pPr>
      <w:jc w:val="center"/>
    </w:pPr>
  </w:style>
  <w:style w:type="paragraph" w:customStyle="1" w:styleId="Gliederung">
    <w:name w:val="Gliederung"/>
    <w:basedOn w:val="Standard"/>
    <w:next w:val="Textkrper"/>
    <w:rsid w:val="006C67E8"/>
    <w:pPr>
      <w:keepNext/>
      <w:keepLines/>
      <w:spacing w:before="240" w:after="240"/>
      <w:jc w:val="left"/>
    </w:pPr>
    <w:rPr>
      <w:b/>
      <w:u w:val="single"/>
    </w:rPr>
  </w:style>
  <w:style w:type="paragraph" w:customStyle="1" w:styleId="Nummeriert">
    <w:name w:val="Nummeriert"/>
    <w:basedOn w:val="Textkrper"/>
    <w:rsid w:val="006C67E8"/>
    <w:pPr>
      <w:ind w:left="283" w:hanging="283"/>
    </w:pPr>
  </w:style>
  <w:style w:type="paragraph" w:customStyle="1" w:styleId="Spiegelstrich">
    <w:name w:val="Spiegelstrich"/>
    <w:basedOn w:val="Textkrper"/>
    <w:rsid w:val="006C67E8"/>
    <w:pPr>
      <w:spacing w:after="0"/>
      <w:ind w:left="284" w:hanging="284"/>
    </w:pPr>
  </w:style>
  <w:style w:type="paragraph" w:styleId="Textkrper-Zeileneinzug">
    <w:name w:val="Body Text Indent"/>
    <w:basedOn w:val="Textkrper"/>
    <w:semiHidden/>
    <w:rsid w:val="006C67E8"/>
    <w:pPr>
      <w:ind w:left="284"/>
    </w:pPr>
  </w:style>
  <w:style w:type="paragraph" w:styleId="Beschriftung">
    <w:name w:val="caption"/>
    <w:basedOn w:val="Standard"/>
    <w:next w:val="Standard"/>
    <w:qFormat/>
    <w:rsid w:val="006C67E8"/>
    <w:pPr>
      <w:spacing w:before="120" w:after="120"/>
    </w:pPr>
    <w:rPr>
      <w:b/>
    </w:rPr>
  </w:style>
  <w:style w:type="paragraph" w:styleId="Fuzeile">
    <w:name w:val="footer"/>
    <w:basedOn w:val="Standard"/>
    <w:semiHidden/>
    <w:rsid w:val="006C67E8"/>
    <w:pPr>
      <w:tabs>
        <w:tab w:val="center" w:pos="4536"/>
        <w:tab w:val="right" w:pos="9072"/>
      </w:tabs>
    </w:pPr>
  </w:style>
  <w:style w:type="character" w:styleId="Seitenzahl">
    <w:name w:val="page number"/>
    <w:basedOn w:val="Absatz-Standardschriftart"/>
    <w:semiHidden/>
    <w:rsid w:val="006C67E8"/>
  </w:style>
  <w:style w:type="paragraph" w:customStyle="1" w:styleId="Verteiler">
    <w:name w:val="Verteiler"/>
    <w:basedOn w:val="Spiegelstrich"/>
    <w:rsid w:val="006C67E8"/>
    <w:pPr>
      <w:jc w:val="left"/>
    </w:pPr>
  </w:style>
  <w:style w:type="paragraph" w:styleId="Unterschrift">
    <w:name w:val="Signature"/>
    <w:basedOn w:val="Standard"/>
    <w:next w:val="Standard"/>
    <w:semiHidden/>
    <w:rsid w:val="006C67E8"/>
    <w:pPr>
      <w:tabs>
        <w:tab w:val="left" w:pos="5103"/>
        <w:tab w:val="left" w:pos="6039"/>
      </w:tabs>
      <w:spacing w:before="240"/>
      <w:jc w:val="left"/>
    </w:pPr>
  </w:style>
  <w:style w:type="paragraph" w:customStyle="1" w:styleId="Verteilertitel">
    <w:name w:val="Verteilertitel"/>
    <w:basedOn w:val="Standard"/>
    <w:next w:val="Verteiler"/>
    <w:rsid w:val="006C67E8"/>
    <w:pPr>
      <w:spacing w:before="240" w:after="120"/>
    </w:pPr>
  </w:style>
  <w:style w:type="paragraph" w:customStyle="1" w:styleId="KantonDirketionAmt">
    <w:name w:val="KantonDirketionAmt"/>
    <w:basedOn w:val="Standard"/>
    <w:rsid w:val="006C67E8"/>
    <w:pPr>
      <w:framePr w:wrap="around" w:vAnchor="page" w:hAnchor="text" w:y="455"/>
      <w:spacing w:line="210" w:lineRule="exact"/>
      <w:jc w:val="center"/>
    </w:pPr>
    <w:rPr>
      <w:rFonts w:ascii="Gill Sans" w:hAnsi="Gill Sans"/>
      <w:caps/>
      <w:sz w:val="21"/>
    </w:rPr>
  </w:style>
  <w:style w:type="paragraph" w:customStyle="1" w:styleId="Zwischentitel">
    <w:name w:val="Zwischentitel"/>
    <w:basedOn w:val="berschrift4"/>
    <w:next w:val="Textkrper"/>
    <w:rsid w:val="006C67E8"/>
    <w:pPr>
      <w:outlineLvl w:val="9"/>
    </w:pPr>
  </w:style>
  <w:style w:type="paragraph" w:customStyle="1" w:styleId="Empfnger">
    <w:name w:val="Empfänger"/>
    <w:basedOn w:val="Standard"/>
    <w:autoRedefine/>
    <w:rsid w:val="00FB626C"/>
    <w:pPr>
      <w:spacing w:before="60"/>
      <w:ind w:right="-100"/>
      <w:jc w:val="left"/>
    </w:pPr>
    <w:rPr>
      <w:rFonts w:ascii="Gill Sans" w:hAnsi="Gill Sans"/>
      <w:caps/>
      <w:noProof/>
      <w:sz w:val="14"/>
      <w:lang w:eastAsia="de-CH"/>
    </w:rPr>
  </w:style>
  <w:style w:type="paragraph" w:customStyle="1" w:styleId="EmpfngerAbsender">
    <w:name w:val="Empfänger Absender"/>
    <w:basedOn w:val="Empfnger"/>
    <w:qFormat/>
    <w:rsid w:val="00FB62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4642</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Vorlage RRB</vt:lpstr>
    </vt:vector>
  </TitlesOfParts>
  <Company>Kanton Nidwalden</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RRB</dc:title>
  <dc:subject>Kantonale Vorlagen</dc:subject>
  <dc:creator>Urs Achermann</dc:creator>
  <cp:keywords>Version 2.0 für Office 97</cp:keywords>
  <dc:description>Titel</dc:description>
  <cp:lastModifiedBy>BDNW31</cp:lastModifiedBy>
  <cp:revision>2</cp:revision>
  <cp:lastPrinted>2012-04-27T07:12:00Z</cp:lastPrinted>
  <dcterms:created xsi:type="dcterms:W3CDTF">2014-04-11T08:59:00Z</dcterms:created>
  <dcterms:modified xsi:type="dcterms:W3CDTF">2014-04-11T08:59:00Z</dcterms:modified>
  <cp:category>Word Vorlagen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absender">
    <vt:lpwstr/>
  </property>
  <property fmtid="{D5CDD505-2E9C-101B-9397-08002B2CF9AE}" pid="3" name="absabteilung">
    <vt:lpwstr/>
  </property>
  <property fmtid="{D5CDD505-2E9C-101B-9397-08002B2CF9AE}" pid="4" name="absadresse">
    <vt:lpwstr/>
  </property>
  <property fmtid="{D5CDD505-2E9C-101B-9397-08002B2CF9AE}" pid="5" name="absamt">
    <vt:lpwstr/>
  </property>
  <property fmtid="{D5CDD505-2E9C-101B-9397-08002B2CF9AE}" pid="6" name="absbeilagen">
    <vt:lpwstr/>
  </property>
  <property fmtid="{D5CDD505-2E9C-101B-9397-08002B2CF9AE}" pid="7" name="absdirektion">
    <vt:lpwstr/>
  </property>
  <property fmtid="{D5CDD505-2E9C-101B-9397-08002B2CF9AE}" pid="8" name="absfax">
    <vt:lpwstr/>
  </property>
  <property fmtid="{D5CDD505-2E9C-101B-9397-08002B2CF9AE}" pid="9" name="absfunktion">
    <vt:lpwstr/>
  </property>
  <property fmtid="{D5CDD505-2E9C-101B-9397-08002B2CF9AE}" pid="10" name="absgruss">
    <vt:lpwstr/>
  </property>
  <property fmtid="{D5CDD505-2E9C-101B-9397-08002B2CF9AE}" pid="11" name="absinternet">
    <vt:lpwstr/>
  </property>
  <property fmtid="{D5CDD505-2E9C-101B-9397-08002B2CF9AE}" pid="12" name="absmailamt">
    <vt:lpwstr/>
  </property>
  <property fmtid="{D5CDD505-2E9C-101B-9397-08002B2CF9AE}" pid="13" name="absnamen">
    <vt:lpwstr/>
  </property>
  <property fmtid="{D5CDD505-2E9C-101B-9397-08002B2CF9AE}" pid="14" name="absort">
    <vt:lpwstr/>
  </property>
  <property fmtid="{D5CDD505-2E9C-101B-9397-08002B2CF9AE}" pid="15" name="abspckonto">
    <vt:lpwstr/>
  </property>
  <property fmtid="{D5CDD505-2E9C-101B-9397-08002B2CF9AE}" pid="16" name="abspckonto1">
    <vt:lpwstr/>
  </property>
  <property fmtid="{D5CDD505-2E9C-101B-9397-08002B2CF9AE}" pid="17" name="absstrasse">
    <vt:lpwstr/>
  </property>
  <property fmtid="{D5CDD505-2E9C-101B-9397-08002B2CF9AE}" pid="18" name="abstelefonamt">
    <vt:lpwstr/>
  </property>
  <property fmtid="{D5CDD505-2E9C-101B-9397-08002B2CF9AE}" pid="19" name="Anz_beilage">
    <vt:lpwstr/>
  </property>
  <property fmtid="{D5CDD505-2E9C-101B-9397-08002B2CF9AE}" pid="20" name="betreff">
    <vt:lpwstr/>
  </property>
  <property fmtid="{D5CDD505-2E9C-101B-9397-08002B2CF9AE}" pid="21" name="betreff1">
    <vt:lpwstr/>
  </property>
  <property fmtid="{D5CDD505-2E9C-101B-9397-08002B2CF9AE}" pid="22" name="datumvisum">
    <vt:lpwstr/>
  </property>
  <property fmtid="{D5CDD505-2E9C-101B-9397-08002B2CF9AE}" pid="23" name="empadresse">
    <vt:lpwstr/>
  </property>
  <property fmtid="{D5CDD505-2E9C-101B-9397-08002B2CF9AE}" pid="24" name="empanredeformel">
    <vt:lpwstr/>
  </property>
  <property fmtid="{D5CDD505-2E9C-101B-9397-08002B2CF9AE}" pid="25" name="EmpFaxNr">
    <vt:lpwstr/>
  </property>
  <property fmtid="{D5CDD505-2E9C-101B-9397-08002B2CF9AE}" pid="26" name="feld1">
    <vt:lpwstr/>
  </property>
  <property fmtid="{D5CDD505-2E9C-101B-9397-08002B2CF9AE}" pid="27" name="feld2">
    <vt:lpwstr/>
  </property>
  <property fmtid="{D5CDD505-2E9C-101B-9397-08002B2CF9AE}" pid="28" name="feld3">
    <vt:lpwstr/>
  </property>
  <property fmtid="{D5CDD505-2E9C-101B-9397-08002B2CF9AE}" pid="29" name="feld4">
    <vt:lpwstr/>
  </property>
  <property fmtid="{D5CDD505-2E9C-101B-9397-08002B2CF9AE}" pid="30" name="feld5">
    <vt:lpwstr/>
  </property>
  <property fmtid="{D5CDD505-2E9C-101B-9397-08002B2CF9AE}" pid="31" name="feld6">
    <vt:lpwstr/>
  </property>
  <property fmtid="{D5CDD505-2E9C-101B-9397-08002B2CF9AE}" pid="32" name="grussamt">
    <vt:lpwstr/>
  </property>
  <property fmtid="{D5CDD505-2E9C-101B-9397-08002B2CF9AE}" pid="33" name="Titel">
    <vt:lpwstr/>
  </property>
  <property fmtid="{D5CDD505-2E9C-101B-9397-08002B2CF9AE}" pid="34" name="versand">
    <vt:lpwstr/>
  </property>
</Properties>
</file>